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963"/>
        <w:gridCol w:w="671"/>
        <w:gridCol w:w="988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55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宋文君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18" w:type="dxa"/>
            <w:vMerge w:val="continue"/>
            <w:vAlign w:val="center"/>
          </w:tcPr>
          <w:p/>
        </w:tc>
        <w:tc>
          <w:tcPr>
            <w:tcW w:w="963" w:type="dxa"/>
            <w:vMerge w:val="continue"/>
            <w:vAlign w:val="center"/>
          </w:tcPr>
          <w:p/>
        </w:tc>
        <w:tc>
          <w:tcPr>
            <w:tcW w:w="10555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18" w:type="dxa"/>
            <w:vMerge w:val="continue"/>
            <w:vAlign w:val="center"/>
          </w:tcPr>
          <w:p/>
        </w:tc>
        <w:tc>
          <w:tcPr>
            <w:tcW w:w="963" w:type="dxa"/>
            <w:vMerge w:val="continue"/>
            <w:vAlign w:val="center"/>
          </w:tcPr>
          <w:p/>
        </w:tc>
        <w:tc>
          <w:tcPr>
            <w:tcW w:w="105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373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Cs w:val="20"/>
                    </w:rPr>
                    <w:t>按照规定废品回收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3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条款、《危险源辨识和风险控制策划程序》</w:t>
            </w:r>
          </w:p>
        </w:tc>
        <w:tc>
          <w:tcPr>
            <w:tcW w:w="1373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与部门职责相关的主要危险源及其控制措施</w:t>
            </w:r>
            <w:r>
              <w:rPr>
                <w:rFonts w:hint="eastAsia"/>
                <w:lang w:eastAsia="zh-CN"/>
              </w:rPr>
              <w:t>是：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机械伤害：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物体打击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高空落物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高空坠落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车辆撞人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中毒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灼烧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冷热伤害：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烫伤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中暑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冻伤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电的伤害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触电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雷击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爆炸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声音伤害：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悬浮物伤害：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评价不可接受风险的准则：《危险源辨识和风险控制策划程序》LEC法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重要危险源</w:t>
            </w:r>
            <w:r>
              <w:rPr>
                <w:rFonts w:hint="eastAsia"/>
                <w:lang w:eastAsia="zh-CN"/>
              </w:rPr>
              <w:t>，及其</w:t>
            </w:r>
            <w:r>
              <w:rPr>
                <w:rFonts w:hint="eastAsia"/>
                <w:lang w:val="en-US" w:eastAsia="zh-CN"/>
              </w:rPr>
              <w:t>控制措施</w:t>
            </w:r>
            <w:r>
              <w:rPr>
                <w:rFonts w:hint="eastAsia"/>
                <w:lang w:eastAsia="zh-CN"/>
              </w:rPr>
              <w:t>是：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W w:w="89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2"/>
              <w:gridCol w:w="1971"/>
              <w:gridCol w:w="5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bookmarkStart w:id="0" w:name="_GoBack"/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57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禁止私拉乱接、加强用电管理，定期检修设备，检查电源线是否老化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操作现场禁止吸烟，安全用电；对易燃溶剂或物料加强管理；现场配备消防器材；加强人员培训和应急演练；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定期检修设备防护装置，加强人员培训，特殊岗位和特种作业人员持证上岗，应急准备</w:t>
                  </w:r>
                </w:p>
              </w:tc>
            </w:tr>
            <w:bookmarkEnd w:id="0"/>
          </w:tbl>
          <w:p>
            <w:pPr>
              <w:pStyle w:val="2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目标及其实现的策划</w:t>
            </w:r>
          </w:p>
          <w:p/>
        </w:tc>
        <w:tc>
          <w:tcPr>
            <w:tcW w:w="963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EO6.2 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《目标指标管理方案控制程序》、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目标分解和完成情况统计</w:t>
            </w:r>
            <w:r>
              <w:rPr>
                <w:rFonts w:hint="eastAsia"/>
              </w:rPr>
              <w:t>》</w:t>
            </w:r>
          </w:p>
        </w:tc>
        <w:tc>
          <w:tcPr>
            <w:tcW w:w="1373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8" w:type="dxa"/>
            <w:vMerge w:val="continue"/>
          </w:tcPr>
          <w:p/>
        </w:tc>
        <w:tc>
          <w:tcPr>
            <w:tcW w:w="963" w:type="dxa"/>
            <w:vMerge w:val="continue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4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4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杜绝人身伤害事故发生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固废分类存放处置率 100％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处置数/固废数×100%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火灾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触电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伤害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发生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次数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机械伤害发生率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  <w:lang w:val="en-US" w:eastAsia="zh-CN"/>
                    </w:rPr>
                    <w:t>数据统计分析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spacing w:line="28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手册第8.1条款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73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基础设施包括：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办公楼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车间厂房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库房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生产设备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试验设备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辅助设施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停机时间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小时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特种设备种类：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叉车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行车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锅炉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电梯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压力容器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压力管道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不适用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查看特种设备检定证书：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桥梁式起重机，注册代码：417041280201833179，使用登记证编号：起17苏B20472（18），报告编号：YX-QD（4170）-2020-04065，有效日期：2022年5月21日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如：《工艺流程图》、《图纸》、《作业指导书》、《操作规程》</w:t>
            </w:r>
          </w:p>
        </w:tc>
        <w:tc>
          <w:tcPr>
            <w:tcW w:w="137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1、环保设备生产工艺流程：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采购原材料---主题设备设计---钢材下料---切割---焊接成型---组装---喷漆---检验---出厂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/>
                <w:szCs w:val="22"/>
                <w:lang w:val="en-US" w:eastAsia="zh-CN"/>
              </w:rPr>
              <w:t>销售流程图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签订合同</w:t>
            </w:r>
            <w:r>
              <w:rPr>
                <w:rFonts w:hint="eastAsia" w:ascii="宋体" w:hAnsi="宋体"/>
                <w:bCs/>
                <w:lang w:val="en-US" w:eastAsia="zh-CN"/>
              </w:rPr>
              <w:t>--设计生产--检验合格--运输--安装调试---客户</w:t>
            </w:r>
            <w:r>
              <w:rPr>
                <w:rFonts w:ascii="宋体" w:hAnsi="宋体"/>
                <w:bCs/>
              </w:rPr>
              <w:t>验收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车间用水处理方式：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查看车间废气处理记录（适用时）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其他佩戴耳塞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现场配备消防设与灭火器，但未点检</w:t>
            </w:r>
          </w:p>
        </w:tc>
        <w:tc>
          <w:tcPr>
            <w:tcW w:w="137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车间产生的工艺垃圾统一搜集做废品回收处理，生活垃圾统一由相关环卫人员处理，生活污水进入城市污水管道</w:t>
            </w:r>
          </w:p>
        </w:tc>
        <w:tc>
          <w:tcPr>
            <w:tcW w:w="137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3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3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2020.12.25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3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18" w:type="dxa"/>
            <w:vMerge w:val="continue"/>
          </w:tcPr>
          <w:p/>
        </w:tc>
        <w:tc>
          <w:tcPr>
            <w:tcW w:w="963" w:type="dxa"/>
            <w:vMerge w:val="continue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环境监控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劳保用品发放记录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u w:val="single"/>
                <w:lang w:val="en-US" w:eastAsia="zh-CN"/>
              </w:rPr>
              <w:t>《监视和测量器具台账》</w:t>
            </w:r>
            <w:r>
              <w:rPr>
                <w:rFonts w:hint="eastAsia"/>
                <w:lang w:val="en-US" w:eastAsia="zh-CN"/>
              </w:rPr>
              <w:t>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游标卡尺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812217712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2021.510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钢卷尺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812217711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2022年5月9日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技术部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查看车间设备运行良好，查看劳保用品发放记录、固废处置记录、环境安全检查记录，记录无异常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/>
        </w:tc>
      </w:tr>
    </w:tbl>
    <w:p/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D560F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0D7B9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D07225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9918D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6698E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0D04CF"/>
    <w:rsid w:val="1C392A3A"/>
    <w:rsid w:val="1C9B23E6"/>
    <w:rsid w:val="1CB1322F"/>
    <w:rsid w:val="1D076892"/>
    <w:rsid w:val="1D1B3EDC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3C23819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4A5ADA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650BAA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20E39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24260F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7E49A0"/>
    <w:rsid w:val="43135B74"/>
    <w:rsid w:val="432A5E11"/>
    <w:rsid w:val="433B1167"/>
    <w:rsid w:val="43473D9B"/>
    <w:rsid w:val="435F500F"/>
    <w:rsid w:val="43C730CD"/>
    <w:rsid w:val="444A12FA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91022C"/>
    <w:rsid w:val="47BB044C"/>
    <w:rsid w:val="48262DE5"/>
    <w:rsid w:val="49C0281D"/>
    <w:rsid w:val="49E449BF"/>
    <w:rsid w:val="49EC77B8"/>
    <w:rsid w:val="49ED5B1C"/>
    <w:rsid w:val="49F532BF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4BF0877"/>
    <w:rsid w:val="5520758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A959FF"/>
    <w:rsid w:val="61E77A7E"/>
    <w:rsid w:val="622A4138"/>
    <w:rsid w:val="62345EA3"/>
    <w:rsid w:val="62385483"/>
    <w:rsid w:val="62385A6C"/>
    <w:rsid w:val="62453206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00898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3F92CA2"/>
    <w:rsid w:val="74103E55"/>
    <w:rsid w:val="745B622A"/>
    <w:rsid w:val="753E2D2E"/>
    <w:rsid w:val="75DB13A5"/>
    <w:rsid w:val="75E552E3"/>
    <w:rsid w:val="75EA3AE8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7F334A"/>
    <w:rsid w:val="7A8564DB"/>
    <w:rsid w:val="7AC22B97"/>
    <w:rsid w:val="7B1F77A4"/>
    <w:rsid w:val="7B292799"/>
    <w:rsid w:val="7BF86D1D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BB416A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2021-05-22T15:53:23Z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520E750EE5FD4A19B43F84AFA112A91D</vt:lpwstr>
  </property>
</Properties>
</file>