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default" w:eastAsia="宋体"/>
                <w:sz w:val="24"/>
                <w:szCs w:val="24"/>
                <w:lang w:val="en-US" w:eastAsia="zh-CN"/>
              </w:rPr>
            </w:pPr>
            <w:r>
              <w:rPr>
                <w:rFonts w:hint="eastAsia"/>
                <w:sz w:val="24"/>
                <w:szCs w:val="24"/>
              </w:rPr>
              <w:t>受审核部门：领导层</w:t>
            </w:r>
            <w:r>
              <w:rPr>
                <w:sz w:val="24"/>
                <w:szCs w:val="24"/>
              </w:rPr>
              <w:t xml:space="preserve">   </w:t>
            </w:r>
            <w:r>
              <w:rPr>
                <w:rFonts w:hint="eastAsia"/>
                <w:sz w:val="24"/>
                <w:szCs w:val="24"/>
                <w:lang w:val="en-US" w:eastAsia="zh-CN"/>
              </w:rPr>
              <w:t xml:space="preserve">      </w:t>
            </w:r>
            <w:r>
              <w:rPr>
                <w:sz w:val="24"/>
                <w:szCs w:val="24"/>
              </w:rPr>
              <w:t xml:space="preserve"> </w:t>
            </w:r>
            <w:r>
              <w:rPr>
                <w:rFonts w:hint="eastAsia"/>
                <w:color w:val="000000" w:themeColor="text1"/>
                <w:sz w:val="24"/>
                <w:szCs w:val="24"/>
              </w:rPr>
              <w:t>陪同人员：</w:t>
            </w:r>
            <w:r>
              <w:rPr>
                <w:rFonts w:hint="eastAsia"/>
                <w:color w:val="000000" w:themeColor="text1"/>
                <w:sz w:val="24"/>
                <w:szCs w:val="24"/>
                <w:lang w:val="en-US" w:eastAsia="zh-CN"/>
              </w:rPr>
              <w:t>张彩霞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pPr>
            <w:r>
              <w:rPr>
                <w:rFonts w:hint="eastAsia"/>
                <w:sz w:val="24"/>
                <w:szCs w:val="24"/>
              </w:rPr>
              <w:t>审核员：</w:t>
            </w:r>
            <w:r>
              <w:rPr>
                <w:rFonts w:hint="eastAsia"/>
                <w:sz w:val="24"/>
                <w:szCs w:val="24"/>
                <w:lang w:val="en-US" w:eastAsia="zh-CN"/>
              </w:rPr>
              <w:t xml:space="preserve">郭力                </w:t>
            </w:r>
            <w:r>
              <w:rPr>
                <w:rFonts w:hint="eastAsia"/>
                <w:sz w:val="24"/>
                <w:szCs w:val="24"/>
              </w:rPr>
              <w:t>审核</w:t>
            </w:r>
            <w:r>
              <w:rPr>
                <w:rFonts w:hint="eastAsia"/>
                <w:sz w:val="24"/>
                <w:szCs w:val="24"/>
                <w:lang w:val="en-US" w:eastAsia="zh-CN"/>
              </w:rPr>
              <w:t>日期</w:t>
            </w:r>
            <w:r>
              <w:rPr>
                <w:rFonts w:hint="eastAsia"/>
                <w:sz w:val="24"/>
                <w:szCs w:val="24"/>
              </w:rPr>
              <w:t>：</w:t>
            </w:r>
            <w:r>
              <w:rPr>
                <w:rFonts w:hint="eastAsia"/>
                <w:sz w:val="24"/>
                <w:szCs w:val="24"/>
                <w:lang w:val="en-US" w:eastAsia="zh-CN"/>
              </w:rPr>
              <w:t>2021-04-14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tabs>
                <w:tab w:val="left" w:pos="709"/>
              </w:tabs>
              <w:ind w:right="57"/>
              <w:jc w:val="left"/>
              <w:rPr>
                <w:szCs w:val="21"/>
              </w:rPr>
            </w:pPr>
            <w:r>
              <w:rPr>
                <w:rFonts w:hint="eastAsia"/>
                <w:sz w:val="24"/>
                <w:szCs w:val="24"/>
              </w:rPr>
              <w:t>审核条款：</w:t>
            </w:r>
            <w:r>
              <w:rPr>
                <w:rFonts w:hint="eastAsia"/>
                <w:szCs w:val="21"/>
              </w:rPr>
              <w:t>QMS：</w:t>
            </w:r>
            <w:r>
              <w:rPr>
                <w:rFonts w:hint="eastAsia"/>
                <w:b/>
                <w:bCs/>
                <w:szCs w:val="21"/>
              </w:rPr>
              <w:t xml:space="preserve">4.1 4.2 4.3 4.4 </w:t>
            </w:r>
            <w:r>
              <w:rPr>
                <w:b/>
                <w:bCs/>
                <w:szCs w:val="21"/>
              </w:rPr>
              <w:t>5.1</w:t>
            </w:r>
            <w:r>
              <w:rPr>
                <w:rFonts w:hint="eastAsia"/>
                <w:b/>
                <w:bCs/>
                <w:szCs w:val="21"/>
                <w:lang w:val="en-US" w:eastAsia="zh-CN"/>
              </w:rPr>
              <w:t>.1，5.1.2</w:t>
            </w:r>
            <w:r>
              <w:rPr>
                <w:rFonts w:hint="eastAsia"/>
                <w:b/>
                <w:bCs/>
                <w:szCs w:val="21"/>
              </w:rPr>
              <w:t>,</w:t>
            </w:r>
            <w:r>
              <w:rPr>
                <w:b/>
                <w:bCs/>
                <w:szCs w:val="21"/>
              </w:rPr>
              <w:t>5.2</w:t>
            </w:r>
            <w:r>
              <w:rPr>
                <w:rFonts w:hint="eastAsia"/>
                <w:b/>
                <w:bCs/>
                <w:szCs w:val="21"/>
              </w:rPr>
              <w:t xml:space="preserve">, </w:t>
            </w:r>
            <w:r>
              <w:rPr>
                <w:b/>
                <w:bCs/>
                <w:szCs w:val="21"/>
              </w:rPr>
              <w:t>5.3</w:t>
            </w:r>
            <w:r>
              <w:rPr>
                <w:rFonts w:hint="eastAsia"/>
                <w:b/>
                <w:bCs/>
                <w:szCs w:val="21"/>
              </w:rPr>
              <w:t>,6.1,6.2，</w:t>
            </w:r>
            <w:r>
              <w:rPr>
                <w:b/>
                <w:bCs/>
                <w:szCs w:val="21"/>
              </w:rPr>
              <w:t>6.3</w:t>
            </w:r>
            <w:r>
              <w:rPr>
                <w:rFonts w:hint="eastAsia"/>
                <w:b/>
                <w:bCs/>
                <w:szCs w:val="21"/>
              </w:rPr>
              <w:t>,</w:t>
            </w:r>
            <w:r>
              <w:rPr>
                <w:b/>
                <w:bCs/>
                <w:szCs w:val="21"/>
              </w:rPr>
              <w:t>7</w:t>
            </w:r>
            <w:r>
              <w:rPr>
                <w:rFonts w:hint="eastAsia"/>
                <w:b/>
                <w:bCs/>
                <w:szCs w:val="21"/>
              </w:rPr>
              <w:t>.1.1,7.1.2,</w:t>
            </w:r>
            <w:r>
              <w:rPr>
                <w:rFonts w:hint="eastAsia"/>
                <w:b/>
                <w:bCs/>
                <w:color w:val="FF0000"/>
                <w:szCs w:val="21"/>
                <w:lang w:val="en-US" w:eastAsia="zh-CN"/>
              </w:rPr>
              <w:t>7.1.6，</w:t>
            </w:r>
            <w:r>
              <w:rPr>
                <w:rFonts w:hint="eastAsia"/>
                <w:b/>
                <w:bCs/>
                <w:szCs w:val="21"/>
              </w:rPr>
              <w:t>7.3,9.1.1，</w:t>
            </w:r>
            <w:r>
              <w:rPr>
                <w:rFonts w:hint="eastAsia"/>
                <w:b/>
                <w:bCs/>
                <w:szCs w:val="21"/>
                <w:lang w:val="en-US" w:eastAsia="zh-CN"/>
              </w:rPr>
              <w:t>9.1.3，9.3，</w:t>
            </w:r>
            <w:r>
              <w:rPr>
                <w:rFonts w:hint="eastAsia"/>
                <w:b/>
                <w:bCs/>
                <w:szCs w:val="21"/>
              </w:rPr>
              <w:t>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理解组织及其环境</w:t>
            </w:r>
          </w:p>
        </w:tc>
        <w:tc>
          <w:tcPr>
            <w:tcW w:w="960" w:type="dxa"/>
            <w:vMerge w:val="restart"/>
          </w:tcPr>
          <w:p>
            <w:r>
              <w:rPr>
                <w:rFonts w:hint="eastAsia"/>
              </w:rPr>
              <w:t xml:space="preserve">Q4.1 </w:t>
            </w:r>
          </w:p>
        </w:tc>
        <w:tc>
          <w:tcPr>
            <w:tcW w:w="745" w:type="dxa"/>
          </w:tcPr>
          <w:p>
            <w:r>
              <w:rPr>
                <w:rFonts w:hint="eastAsia"/>
              </w:rPr>
              <w:t>文件名称</w:t>
            </w:r>
          </w:p>
        </w:tc>
        <w:tc>
          <w:tcPr>
            <w:tcW w:w="9259" w:type="dxa"/>
          </w:tcPr>
          <w:p>
            <w:r>
              <w:rPr>
                <w:rFonts w:hint="eastAsia"/>
              </w:rPr>
              <w:t>如：</w:t>
            </w:r>
            <w:r>
              <w:rPr>
                <w:rFonts w:hint="eastAsia"/>
              </w:rPr>
              <w:sym w:font="Wingdings" w:char="00A8"/>
            </w:r>
            <w:r>
              <w:rPr>
                <w:rFonts w:hint="eastAsia"/>
              </w:rPr>
              <w:t>《组织及其环境控制程序》、</w:t>
            </w:r>
            <w:r>
              <w:rPr>
                <w:rFonts w:hint="eastAsia"/>
              </w:rPr>
              <w:sym w:font="Wingdings" w:char="00FE"/>
            </w:r>
            <w:r>
              <w:rPr>
                <w:rFonts w:hint="eastAsia"/>
              </w:rPr>
              <w:t>管理手册第4.1章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与最高管理者沟通：</w:t>
            </w:r>
          </w:p>
          <w:p>
            <w:pPr>
              <w:rPr>
                <w:color w:val="000000"/>
                <w:szCs w:val="21"/>
              </w:rPr>
            </w:pPr>
            <w:r>
              <w:rPr>
                <w:rFonts w:hint="eastAsia"/>
                <w:color w:val="000000"/>
                <w:szCs w:val="21"/>
              </w:rPr>
              <w:t>组织的环境：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rPr>
                      <w:color w:val="auto"/>
                    </w:rPr>
                  </w:pPr>
                  <w:r>
                    <w:rPr>
                      <w:rFonts w:hint="eastAsia"/>
                      <w:color w:val="auto"/>
                    </w:rPr>
                    <w:t>外部环境</w:t>
                  </w:r>
                </w:p>
              </w:tc>
              <w:tc>
                <w:tcPr>
                  <w:tcW w:w="7375" w:type="dxa"/>
                </w:tcPr>
                <w:p>
                  <w:pPr>
                    <w:rPr>
                      <w:color w:val="auto"/>
                    </w:rPr>
                  </w:pPr>
                  <w:r>
                    <w:rPr>
                      <w:rFonts w:hint="eastAsia"/>
                      <w:color w:val="auto"/>
                    </w:rPr>
                    <w:t xml:space="preserve">☑政治环境☑法律法规 ☑技术 ☑竞争 ☑市场 </w:t>
                  </w:r>
                  <w:r>
                    <w:rPr>
                      <w:rFonts w:hint="eastAsia"/>
                      <w:color w:val="auto"/>
                    </w:rPr>
                    <w:sym w:font="Wingdings 2" w:char="0052"/>
                  </w:r>
                  <w:r>
                    <w:rPr>
                      <w:rFonts w:hint="eastAsia"/>
                      <w:color w:val="auto"/>
                    </w:rPr>
                    <w:t xml:space="preserve">文化 ☑社会 ☑经济环境 </w:t>
                  </w:r>
                  <w:r>
                    <w:rPr>
                      <w:rFonts w:hint="eastAsia"/>
                      <w:color w:val="auto"/>
                    </w:rPr>
                    <w:sym w:font="Wingdings 2" w:char="0052"/>
                  </w:r>
                  <w:r>
                    <w:rPr>
                      <w:rFonts w:hint="eastAsia"/>
                      <w:color w:val="auto"/>
                      <w:lang w:val="en-US" w:eastAsia="zh-CN"/>
                    </w:rPr>
                    <w:t>自然环境</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rPr>
                      <w:color w:val="auto"/>
                    </w:rPr>
                  </w:pPr>
                  <w:r>
                    <w:rPr>
                      <w:rFonts w:hint="eastAsia"/>
                      <w:color w:val="auto"/>
                    </w:rPr>
                    <w:t>列举主要的内容</w:t>
                  </w:r>
                </w:p>
              </w:tc>
              <w:tc>
                <w:tcPr>
                  <w:tcW w:w="7375" w:type="dxa"/>
                </w:tcPr>
                <w:p>
                  <w:pPr>
                    <w:rPr>
                      <w:color w:val="auto"/>
                    </w:rPr>
                  </w:pPr>
                  <w:r>
                    <w:rPr>
                      <w:rFonts w:hint="eastAsia"/>
                      <w:color w:val="auto"/>
                    </w:rPr>
                    <w:t>中国目前法制建设很快，法律法规要求越来越完善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内部环境</w:t>
                  </w:r>
                </w:p>
              </w:tc>
              <w:tc>
                <w:tcPr>
                  <w:tcW w:w="7375" w:type="dxa"/>
                </w:tcPr>
                <w:p>
                  <w:pPr>
                    <w:rPr>
                      <w:color w:val="auto"/>
                    </w:rPr>
                  </w:pPr>
                  <w:r>
                    <w:rPr>
                      <w:rFonts w:hint="eastAsia"/>
                      <w:color w:val="auto"/>
                    </w:rPr>
                    <w:t xml:space="preserve">☑价值观  </w:t>
                  </w:r>
                  <w:r>
                    <w:rPr>
                      <w:rFonts w:hint="eastAsia"/>
                      <w:color w:val="auto"/>
                      <w:lang w:eastAsia="zh-CN"/>
                    </w:rPr>
                    <w:sym w:font="Wingdings 2" w:char="0052"/>
                  </w:r>
                  <w:r>
                    <w:rPr>
                      <w:rFonts w:hint="eastAsia"/>
                      <w:color w:val="auto"/>
                    </w:rPr>
                    <w:t xml:space="preserve">文化  ☑知识 ☑绩效 </w:t>
                  </w:r>
                  <w:r>
                    <w:rPr>
                      <w:rFonts w:hint="eastAsia"/>
                      <w:color w:val="auto"/>
                      <w:lang w:eastAsia="zh-CN"/>
                    </w:rPr>
                    <w:t>□</w:t>
                  </w:r>
                  <w:r>
                    <w:rPr>
                      <w:rFonts w:hint="eastAsia"/>
                      <w:color w:val="auto"/>
                    </w:rPr>
                    <w:t xml:space="preserve">工艺 </w:t>
                  </w:r>
                  <w:r>
                    <w:rPr>
                      <w:rFonts w:hint="eastAsia"/>
                      <w:color w:val="auto"/>
                      <w:lang w:eastAsia="zh-CN"/>
                    </w:rPr>
                    <w:t>□</w:t>
                  </w:r>
                  <w:r>
                    <w:rPr>
                      <w:rFonts w:hint="eastAsia"/>
                      <w:color w:val="auto"/>
                    </w:rPr>
                    <w:t>设备 ☑人员能力☑</w:t>
                  </w:r>
                  <w:r>
                    <w:rPr>
                      <w:rFonts w:hint="eastAsia"/>
                      <w:color w:val="auto"/>
                      <w:lang w:val="en-US" w:eastAsia="zh-CN"/>
                    </w:rPr>
                    <w:t>财务</w:t>
                  </w:r>
                  <w:r>
                    <w:rPr>
                      <w:rFonts w:hint="eastAsia"/>
                      <w:color w:val="auto"/>
                    </w:rPr>
                    <w:t xml:space="preserve"> ☑</w:t>
                  </w:r>
                  <w:r>
                    <w:rPr>
                      <w:rFonts w:hint="eastAsia"/>
                      <w:color w:val="auto"/>
                      <w:lang w:val="en-US" w:eastAsia="zh-CN"/>
                    </w:rPr>
                    <w:t>资源</w:t>
                  </w:r>
                  <w:r>
                    <w:rPr>
                      <w:rFonts w:hint="eastAsia"/>
                      <w:color w:val="auto"/>
                    </w:rPr>
                    <w:t>☑</w:t>
                  </w:r>
                  <w:r>
                    <w:rPr>
                      <w:rFonts w:hint="eastAsia"/>
                      <w:color w:val="auto"/>
                      <w:lang w:val="en-US" w:eastAsia="zh-CN"/>
                    </w:rPr>
                    <w:t>运营因素</w:t>
                  </w:r>
                  <w:r>
                    <w:rPr>
                      <w:rFonts w:hint="eastAsia"/>
                      <w:color w:val="auto"/>
                    </w:rPr>
                    <w:t>☑</w:t>
                  </w:r>
                  <w:r>
                    <w:rPr>
                      <w:rFonts w:hint="eastAsia"/>
                      <w:color w:val="auto"/>
                      <w:lang w:val="en-US" w:eastAsia="zh-CN"/>
                    </w:rPr>
                    <w:t>意识</w:t>
                  </w: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列举主要的内容</w:t>
                  </w:r>
                </w:p>
              </w:tc>
              <w:tc>
                <w:tcPr>
                  <w:tcW w:w="7375" w:type="dxa"/>
                </w:tcPr>
                <w:p>
                  <w:pPr>
                    <w:rPr>
                      <w:color w:val="auto"/>
                    </w:rPr>
                  </w:pPr>
                  <w:r>
                    <w:rPr>
                      <w:rFonts w:hint="eastAsia"/>
                      <w:color w:val="auto"/>
                    </w:rPr>
                    <w:t>公司人员文化程度相对较低，接受先进的技术能力比较吃力。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szCs w:val="21"/>
                    </w:rPr>
                    <w:t>组织优势说明</w:t>
                  </w:r>
                </w:p>
              </w:tc>
              <w:tc>
                <w:tcPr>
                  <w:tcW w:w="7375" w:type="dxa"/>
                </w:tcPr>
                <w:p>
                  <w:pPr>
                    <w:rPr>
                      <w:color w:val="auto"/>
                    </w:rPr>
                  </w:pPr>
                  <w:r>
                    <w:rPr>
                      <w:rFonts w:hint="eastAsia" w:ascii="Times New Roman" w:hAnsi="Times New Roman" w:cs="Times New Roman"/>
                      <w:color w:val="auto"/>
                    </w:rPr>
                    <w:t>本公司所处的地理位置交通便利，气候适宜，资源获得极其便捷。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47" w:type="dxa"/>
                </w:tcPr>
                <w:p>
                  <w:pPr>
                    <w:rPr>
                      <w:color w:val="auto"/>
                    </w:rPr>
                  </w:pPr>
                  <w:r>
                    <w:rPr>
                      <w:rFonts w:hint="eastAsia"/>
                      <w:color w:val="auto"/>
                      <w:szCs w:val="21"/>
                    </w:rPr>
                    <w:t>组织劣势说明</w:t>
                  </w:r>
                </w:p>
              </w:tc>
              <w:tc>
                <w:tcPr>
                  <w:tcW w:w="7375" w:type="dxa"/>
                </w:tcPr>
                <w:p>
                  <w:pPr>
                    <w:rPr>
                      <w:color w:val="auto"/>
                    </w:rPr>
                  </w:pPr>
                  <w:r>
                    <w:rPr>
                      <w:rFonts w:hint="eastAsia"/>
                      <w:color w:val="auto"/>
                    </w:rPr>
                    <w:t>公司人员文化程度相对较低，接受先进的技术能力比较吃力。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rPr>
                      <w:color w:val="auto"/>
                    </w:rPr>
                  </w:pPr>
                  <w:r>
                    <w:rPr>
                      <w:rFonts w:hint="eastAsia"/>
                      <w:color w:val="auto"/>
                      <w:szCs w:val="21"/>
                    </w:rPr>
                    <w:t>主要风险的说明</w:t>
                  </w:r>
                </w:p>
              </w:tc>
              <w:tc>
                <w:tcPr>
                  <w:tcW w:w="7375" w:type="dxa"/>
                </w:tcPr>
                <w:p>
                  <w:pPr>
                    <w:rPr>
                      <w:color w:val="auto"/>
                    </w:rPr>
                  </w:pPr>
                  <w:r>
                    <w:rPr>
                      <w:rFonts w:hint="eastAsia" w:ascii="楷体" w:hAnsi="楷体" w:eastAsia="楷体"/>
                      <w:color w:val="auto"/>
                    </w:rPr>
                    <w:t>客户对产品质量标准提高，以及对供应周期和售后服务的期望值提升，给公司生产、质量和售后管理提出新的要求；</w:t>
                  </w:r>
                  <w:r>
                    <w:rPr>
                      <w:rFonts w:hint="eastAsia" w:eastAsia="楷体"/>
                      <w:color w:val="auto"/>
                    </w:rPr>
                    <w:t> </w:t>
                  </w:r>
                  <w:r>
                    <w:rPr>
                      <w:rFonts w:hint="eastAsia" w:ascii="楷体" w:hAnsi="楷体" w:eastAsia="楷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szCs w:val="21"/>
                    </w:rPr>
                    <w:t>机遇的说明</w:t>
                  </w:r>
                </w:p>
              </w:tc>
              <w:tc>
                <w:tcPr>
                  <w:tcW w:w="7375" w:type="dxa"/>
                </w:tcPr>
                <w:p>
                  <w:pPr>
                    <w:rPr>
                      <w:color w:val="auto"/>
                    </w:rPr>
                  </w:pPr>
                  <w:r>
                    <w:rPr>
                      <w:rFonts w:hint="eastAsia" w:ascii="楷体" w:hAnsi="楷体" w:eastAsia="楷体"/>
                      <w:color w:val="auto"/>
                    </w:rPr>
                    <w:t>通过引进新的设备、工艺，提高公司的工艺水平，降低产品成本，提高公司的市场竞争力</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60" w:type="dxa"/>
            <w:vMerge w:val="restart"/>
          </w:tcPr>
          <w:p>
            <w:r>
              <w:rPr>
                <w:rFonts w:hint="eastAsia"/>
              </w:rPr>
              <w:t xml:space="preserve">Q4.2 </w:t>
            </w:r>
          </w:p>
        </w:tc>
        <w:tc>
          <w:tcPr>
            <w:tcW w:w="745" w:type="dxa"/>
          </w:tcPr>
          <w:p>
            <w:r>
              <w:rPr>
                <w:rFonts w:hint="eastAsia"/>
              </w:rPr>
              <w:t>文件名称</w:t>
            </w:r>
          </w:p>
        </w:tc>
        <w:tc>
          <w:tcPr>
            <w:tcW w:w="9259" w:type="dxa"/>
          </w:tcPr>
          <w:p>
            <w:r>
              <w:rPr>
                <w:rFonts w:hint="eastAsia"/>
              </w:rPr>
              <w:t>如：</w:t>
            </w:r>
            <w:r>
              <w:rPr>
                <w:rFonts w:hint="eastAsia"/>
              </w:rPr>
              <w:sym w:font="Wingdings" w:char="00A8"/>
            </w:r>
            <w:r>
              <w:rPr>
                <w:rFonts w:hint="eastAsia"/>
              </w:rPr>
              <w:t>《理解相关方的需求和期望控制程序》、</w:t>
            </w:r>
            <w:r>
              <w:rPr>
                <w:rFonts w:hint="eastAsia"/>
              </w:rPr>
              <w:sym w:font="Wingdings" w:char="00FE"/>
            </w:r>
            <w:r>
              <w:rPr>
                <w:rFonts w:hint="eastAsia"/>
              </w:rPr>
              <w:t>管理手册第4.2章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7"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805"/>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3805" w:type="dxa"/>
                </w:tcPr>
                <w:p>
                  <w:pPr>
                    <w:rPr>
                      <w:highlight w:val="cyan"/>
                    </w:rPr>
                  </w:pPr>
                  <w:r>
                    <w:rPr>
                      <w:rFonts w:hint="eastAsia"/>
                    </w:rPr>
                    <w:t>相关方名称举例</w:t>
                  </w:r>
                </w:p>
              </w:tc>
              <w:tc>
                <w:tcPr>
                  <w:tcW w:w="3625"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☑主管部门</w:t>
                  </w:r>
                </w:p>
              </w:tc>
              <w:tc>
                <w:tcPr>
                  <w:tcW w:w="3805" w:type="dxa"/>
                </w:tcPr>
                <w:p>
                  <w:r>
                    <w:rPr>
                      <w:rFonts w:hint="eastAsia"/>
                    </w:rPr>
                    <w:t>如</w:t>
                  </w:r>
                  <w:r>
                    <w:rPr>
                      <w:rFonts w:hint="eastAsia"/>
                      <w:lang w:val="en-US" w:eastAsia="zh-CN"/>
                    </w:rPr>
                    <w:t>宜兴</w:t>
                  </w:r>
                  <w:r>
                    <w:rPr>
                      <w:rFonts w:hint="eastAsia"/>
                    </w:rPr>
                    <w:t>市场监督管理局</w:t>
                  </w:r>
                </w:p>
              </w:tc>
              <w:tc>
                <w:tcPr>
                  <w:tcW w:w="3625" w:type="dxa"/>
                </w:tcPr>
                <w:p>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☑供方</w:t>
                  </w:r>
                </w:p>
              </w:tc>
              <w:tc>
                <w:tcPr>
                  <w:tcW w:w="3805" w:type="dxa"/>
                </w:tcPr>
                <w:p>
                  <w:pPr>
                    <w:rPr>
                      <w:rFonts w:hint="default" w:eastAsia="宋体"/>
                      <w:lang w:val="en-US" w:eastAsia="zh-CN"/>
                    </w:rPr>
                  </w:pPr>
                  <w:r>
                    <w:rPr>
                      <w:rFonts w:hint="eastAsia"/>
                    </w:rPr>
                    <w:t>例如：如</w:t>
                  </w:r>
                  <w:r>
                    <w:rPr>
                      <w:rFonts w:hint="eastAsia"/>
                      <w:lang w:val="en-US" w:eastAsia="zh-CN"/>
                    </w:rPr>
                    <w:t>宜兴市国兴耐火材料有限公司</w:t>
                  </w:r>
                </w:p>
              </w:tc>
              <w:tc>
                <w:tcPr>
                  <w:tcW w:w="3625" w:type="dxa"/>
                </w:tcPr>
                <w:p>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3805" w:type="dxa"/>
                </w:tcPr>
                <w:p>
                  <w:pPr>
                    <w:rPr>
                      <w:rFonts w:hint="default" w:eastAsia="宋体"/>
                      <w:lang w:val="en-US" w:eastAsia="zh-CN"/>
                    </w:rPr>
                  </w:pPr>
                  <w:r>
                    <w:rPr>
                      <w:rFonts w:hint="eastAsia"/>
                    </w:rPr>
                    <w:t>例如：</w:t>
                  </w:r>
                  <w:r>
                    <w:rPr>
                      <w:rFonts w:hint="eastAsia"/>
                      <w:lang w:val="en-US" w:eastAsia="zh-CN"/>
                    </w:rPr>
                    <w:t>山东华德隆建材科技有限公司</w:t>
                  </w:r>
                </w:p>
              </w:tc>
              <w:tc>
                <w:tcPr>
                  <w:tcW w:w="3625" w:type="dxa"/>
                </w:tcPr>
                <w:p>
                  <w:r>
                    <w:rPr>
                      <w:rFonts w:hint="eastAsia"/>
                    </w:rPr>
                    <w:t>☑按时按质按量交付产品或服务；</w:t>
                  </w:r>
                </w:p>
                <w:p>
                  <w:r>
                    <w:rPr>
                      <w:rFonts w:hint="eastAsia"/>
                    </w:rPr>
                    <w:t>☑产品/服务质量持续满足要求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□消费者</w:t>
                  </w:r>
                </w:p>
              </w:tc>
              <w:tc>
                <w:tcPr>
                  <w:tcW w:w="3805" w:type="dxa"/>
                </w:tcPr>
                <w:p>
                  <w:r>
                    <w:rPr>
                      <w:rFonts w:hint="eastAsia"/>
                    </w:rPr>
                    <w:t>——</w:t>
                  </w:r>
                </w:p>
              </w:tc>
              <w:tc>
                <w:tcPr>
                  <w:tcW w:w="3625" w:type="dxa"/>
                </w:tcPr>
                <w:p>
                  <w:r>
                    <w:rPr>
                      <w:rFonts w:hint="eastAsia"/>
                    </w:rPr>
                    <w:t>□良好的使用感受、持续经营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t>☑员工</w:t>
                  </w:r>
                </w:p>
              </w:tc>
              <w:tc>
                <w:tcPr>
                  <w:tcW w:w="3805" w:type="dxa"/>
                </w:tcPr>
                <w:p>
                  <w:pPr>
                    <w:rPr>
                      <w:szCs w:val="24"/>
                    </w:rPr>
                  </w:pPr>
                  <w:r>
                    <w:rPr>
                      <w:rFonts w:hint="eastAsia"/>
                      <w:szCs w:val="24"/>
                    </w:rPr>
                    <w:t>——</w:t>
                  </w:r>
                </w:p>
              </w:tc>
              <w:tc>
                <w:tcPr>
                  <w:tcW w:w="3625" w:type="dxa"/>
                </w:tcPr>
                <w:p>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3805" w:type="dxa"/>
                </w:tcPr>
                <w:p/>
              </w:tc>
              <w:tc>
                <w:tcPr>
                  <w:tcW w:w="3625" w:type="dxa"/>
                </w:tcPr>
                <w:p>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3805" w:type="dxa"/>
                </w:tcPr>
                <w:p/>
              </w:tc>
              <w:tc>
                <w:tcPr>
                  <w:tcW w:w="3625" w:type="dxa"/>
                </w:tcP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确定质量管理体系的范围</w:t>
            </w:r>
          </w:p>
        </w:tc>
        <w:tc>
          <w:tcPr>
            <w:tcW w:w="960" w:type="dxa"/>
            <w:vMerge w:val="restart"/>
          </w:tcPr>
          <w:p>
            <w:r>
              <w:rPr>
                <w:rFonts w:hint="eastAsia"/>
              </w:rPr>
              <w:t>Q4.3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管理手册第4.3章和</w:t>
            </w:r>
            <w:r>
              <w:rPr>
                <w:rFonts w:hint="eastAsia"/>
              </w:rPr>
              <w:sym w:font="Wingdings" w:char="00FE"/>
            </w:r>
            <w:r>
              <w:rPr>
                <w:rFonts w:hint="eastAsia"/>
              </w:rPr>
              <w:t>“公司介绍”</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组织应明确相关管理体系的范围；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7132" w:type="dxa"/>
                </w:tcPr>
                <w:p>
                  <w:r>
                    <w:rPr>
                      <w:rFonts w:hint="eastAsia"/>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r>
                    <w:rPr>
                      <w:rFonts w:hint="eastAsia"/>
                    </w:rPr>
                    <w:t>产品/服务的活动</w:t>
                  </w:r>
                </w:p>
              </w:tc>
              <w:tc>
                <w:tcPr>
                  <w:tcW w:w="7132" w:type="dxa"/>
                </w:tcPr>
                <w:p>
                  <w:r>
                    <w:rPr>
                      <w:sz w:val="20"/>
                    </w:rPr>
                    <w:t>高性能轻质玻化陶瓷制品的制造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r>
                    <w:rPr>
                      <w:rFonts w:hint="eastAsia"/>
                    </w:rPr>
                    <w:t>注册地址</w:t>
                  </w:r>
                </w:p>
              </w:tc>
              <w:tc>
                <w:tcPr>
                  <w:tcW w:w="7132" w:type="dxa"/>
                  <w:vAlign w:val="top"/>
                </w:tcPr>
                <w:p>
                  <w:r>
                    <w:t>宜兴市丁蜀镇川埠路南侧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w:t>
                  </w:r>
                </w:p>
              </w:tc>
              <w:tc>
                <w:tcPr>
                  <w:tcW w:w="7132" w:type="dxa"/>
                  <w:vAlign w:val="top"/>
                </w:tcPr>
                <w:p>
                  <w:r>
                    <w:t>宜兴市丁蜀镇陶都工业园通蠡路15号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r>
                    <w:rPr>
                      <w:rFonts w:hint="eastAsia"/>
                    </w:rPr>
                    <w:t>组织单元（部门/分支）</w:t>
                  </w:r>
                </w:p>
              </w:tc>
              <w:tc>
                <w:tcPr>
                  <w:tcW w:w="7132"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7132" w:type="dxa"/>
                </w:tcPr>
                <w:p>
                  <w:r>
                    <w:rPr>
                      <w:rFonts w:hint="eastAsia"/>
                    </w:rPr>
                    <w:sym w:font="Wingdings" w:char="00A8"/>
                  </w:r>
                  <w:r>
                    <w:rPr>
                      <w:rFonts w:hint="eastAsia"/>
                    </w:rPr>
                    <w:t xml:space="preserve"> 体系建立以来</w:t>
                  </w:r>
                </w:p>
                <w:p>
                  <w:r>
                    <w:rPr>
                      <w:rFonts w:hint="eastAsia"/>
                    </w:rPr>
                    <w:sym w:font="Wingdings" w:char="00FE"/>
                  </w:r>
                  <w:r>
                    <w:rPr>
                      <w:rFonts w:hint="eastAsia"/>
                    </w:rPr>
                    <w:t>近一年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7132" w:type="dxa"/>
                </w:tcPr>
                <w:p>
                  <w:r>
                    <w:rPr>
                      <w:rFonts w:hint="eastAsia"/>
                    </w:rPr>
                    <w:sym w:font="Wingdings" w:char="00FE"/>
                  </w:r>
                  <w:r>
                    <w:rPr>
                      <w:rFonts w:hint="eastAsia"/>
                    </w:rPr>
                    <w:t>8.3产品和服务的设计和开发</w:t>
                  </w:r>
                </w:p>
                <w:p>
                  <w:r>
                    <w:rPr>
                      <w:rFonts w:hint="eastAsia"/>
                    </w:rPr>
                    <w:sym w:font="Wingdings" w:char="00A8"/>
                  </w:r>
                  <w:r>
                    <w:rPr>
                      <w:rFonts w:hint="eastAsia"/>
                    </w:rPr>
                    <w:t>无不适用条款</w:t>
                  </w:r>
                </w:p>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7132" w:type="dxa"/>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bl>
          <w:p/>
          <w:p>
            <w:pPr>
              <w:rPr>
                <w:color w:val="000000"/>
                <w:szCs w:val="21"/>
              </w:rPr>
            </w:pPr>
            <w:r>
              <w:rPr>
                <w:rFonts w:hint="eastAsia"/>
                <w:color w:val="000000"/>
                <w:szCs w:val="21"/>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质量管理体系及其过程</w:t>
            </w:r>
          </w:p>
        </w:tc>
        <w:tc>
          <w:tcPr>
            <w:tcW w:w="960" w:type="dxa"/>
            <w:vMerge w:val="restart"/>
          </w:tcPr>
          <w:p>
            <w:r>
              <w:rPr>
                <w:rFonts w:hint="eastAsia"/>
              </w:rPr>
              <w:t xml:space="preserve">Q4.4 </w:t>
            </w:r>
          </w:p>
        </w:tc>
        <w:tc>
          <w:tcPr>
            <w:tcW w:w="745" w:type="dxa"/>
          </w:tcPr>
          <w:p>
            <w:r>
              <w:rPr>
                <w:rFonts w:hint="eastAsia"/>
              </w:rPr>
              <w:t>文件名称</w:t>
            </w:r>
          </w:p>
        </w:tc>
        <w:tc>
          <w:tcPr>
            <w:tcW w:w="9259" w:type="dxa"/>
          </w:tcPr>
          <w:p>
            <w:r>
              <w:rPr>
                <w:rFonts w:hint="eastAsia"/>
              </w:rPr>
              <w:t>如：☑管理手册第4.4章和□《过程清单》</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☑市场拓展 ☑设备能力 ☑人员能力 ☑检测水平☑合同评审 ☑知识保密 </w:t>
            </w:r>
          </w:p>
          <w:p>
            <w:pPr>
              <w:spacing w:before="40" w:after="40"/>
            </w:pPr>
            <w:r>
              <w:rPr>
                <w:rFonts w:hint="eastAsia"/>
              </w:rPr>
              <w:t>□新产品设计开发 ☑原材料采购 ☑外部供方控制 ☑生产/服务控制 □其他</w:t>
            </w:r>
          </w:p>
          <w:p>
            <w:pPr>
              <w:spacing w:before="40" w:after="40"/>
              <w:rPr>
                <w:b/>
                <w:bCs/>
              </w:rPr>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□新产品设计开发 □原材料订制 □生产/服务过程 □检验检测 ☑产品运输 □设备维修</w:t>
            </w:r>
          </w:p>
          <w:p>
            <w:pPr>
              <w:spacing w:before="40" w:after="40"/>
            </w:pPr>
            <w:r>
              <w:rPr>
                <w:rFonts w:hint="eastAsia"/>
              </w:rPr>
              <w:t>□人员培训 □其他</w:t>
            </w:r>
          </w:p>
          <w:p>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rPr>
              <w:t>Q5.1</w:t>
            </w:r>
            <w:r>
              <w:rPr>
                <w:rFonts w:hint="eastAsia"/>
                <w:lang w:val="en-US" w:eastAsia="zh-CN"/>
              </w:rPr>
              <w:t>.1</w:t>
            </w:r>
            <w:r>
              <w:rPr>
                <w:rFonts w:hint="eastAsia"/>
              </w:rPr>
              <w:t>  </w:t>
            </w:r>
          </w:p>
        </w:tc>
        <w:tc>
          <w:tcPr>
            <w:tcW w:w="745" w:type="dxa"/>
          </w:tcPr>
          <w:p>
            <w:r>
              <w:rPr>
                <w:rFonts w:hint="eastAsia"/>
              </w:rPr>
              <w:t>文件名称</w:t>
            </w:r>
          </w:p>
        </w:tc>
        <w:tc>
          <w:tcPr>
            <w:tcW w:w="9259" w:type="dxa"/>
          </w:tcPr>
          <w:p>
            <w:r>
              <w:rPr>
                <w:rFonts w:hint="eastAsia"/>
              </w:rPr>
              <w:t>如：☑管理手册第5.1章和☑“总经理岗位职责”</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对质量管理体系的有效性承担责任； </w:t>
            </w:r>
          </w:p>
          <w:p>
            <w:pPr>
              <w:rPr>
                <w:color w:val="000000"/>
                <w:szCs w:val="21"/>
              </w:rPr>
            </w:pPr>
            <w:r>
              <w:rPr>
                <w:rFonts w:hint="eastAsia"/>
                <w:color w:val="000000"/>
                <w:szCs w:val="21"/>
              </w:rPr>
              <w:sym w:font="Wingdings" w:char="00FE"/>
            </w:r>
            <w:r>
              <w:rPr>
                <w:rFonts w:hint="eastAsia"/>
                <w:color w:val="000000"/>
                <w:szCs w:val="21"/>
              </w:rPr>
              <w:t xml:space="preserve">确保制定质量管理体系的质量方针和质量目标，并与组织的环境和战略方向相一致； </w:t>
            </w:r>
          </w:p>
          <w:p>
            <w:pPr>
              <w:rPr>
                <w:color w:val="000000"/>
                <w:szCs w:val="21"/>
              </w:rPr>
            </w:pPr>
            <w:r>
              <w:rPr>
                <w:rFonts w:hint="eastAsia"/>
                <w:color w:val="000000"/>
                <w:szCs w:val="21"/>
              </w:rPr>
              <w:sym w:font="Wingdings" w:char="00FE"/>
            </w:r>
            <w:r>
              <w:rPr>
                <w:rFonts w:hint="eastAsia"/>
                <w:color w:val="000000"/>
                <w:szCs w:val="21"/>
              </w:rPr>
              <w:t xml:space="preserve">确保质量管理体系要求融入组织的业务过程；  </w:t>
            </w:r>
          </w:p>
          <w:p>
            <w:pPr>
              <w:rPr>
                <w:color w:val="000000"/>
                <w:szCs w:val="21"/>
              </w:rPr>
            </w:pPr>
            <w:r>
              <w:rPr>
                <w:rFonts w:hint="eastAsia"/>
                <w:color w:val="000000"/>
                <w:szCs w:val="21"/>
              </w:rPr>
              <w:sym w:font="Wingdings" w:char="00FE"/>
            </w:r>
            <w:r>
              <w:rPr>
                <w:rFonts w:hint="eastAsia"/>
                <w:color w:val="000000"/>
                <w:szCs w:val="21"/>
              </w:rPr>
              <w:t xml:space="preserve">促进使用过程方法和基于风险的思维； </w:t>
            </w:r>
          </w:p>
          <w:p>
            <w:pPr>
              <w:rPr>
                <w:color w:val="000000"/>
                <w:szCs w:val="21"/>
              </w:rPr>
            </w:pPr>
            <w:r>
              <w:rPr>
                <w:rFonts w:hint="eastAsia"/>
                <w:color w:val="000000"/>
                <w:szCs w:val="21"/>
              </w:rPr>
              <w:sym w:font="Wingdings" w:char="00FE"/>
            </w:r>
            <w:r>
              <w:rPr>
                <w:rFonts w:hint="eastAsia"/>
                <w:color w:val="000000"/>
                <w:szCs w:val="21"/>
              </w:rPr>
              <w:t xml:space="preserve">确保质量管理体系所需的资源是可用的； </w:t>
            </w:r>
          </w:p>
          <w:p>
            <w:pPr>
              <w:rPr>
                <w:color w:val="000000"/>
                <w:szCs w:val="21"/>
              </w:rPr>
            </w:pPr>
            <w:r>
              <w:rPr>
                <w:rFonts w:hint="eastAsia"/>
                <w:color w:val="000000"/>
                <w:szCs w:val="21"/>
              </w:rPr>
              <w:sym w:font="Wingdings" w:char="00FE"/>
            </w:r>
            <w:r>
              <w:rPr>
                <w:rFonts w:hint="eastAsia"/>
                <w:color w:val="000000"/>
                <w:szCs w:val="21"/>
              </w:rPr>
              <w:t>沟通有效的质量管理和符合质量管理体系要求的重要性；</w:t>
            </w:r>
          </w:p>
          <w:p>
            <w:pPr>
              <w:rPr>
                <w:color w:val="000000"/>
                <w:szCs w:val="21"/>
              </w:rPr>
            </w:pPr>
            <w:r>
              <w:rPr>
                <w:rFonts w:hint="eastAsia"/>
                <w:color w:val="000000"/>
                <w:szCs w:val="21"/>
              </w:rPr>
              <w:sym w:font="Wingdings" w:char="00FE"/>
            </w:r>
            <w:r>
              <w:rPr>
                <w:rFonts w:hint="eastAsia"/>
                <w:color w:val="000000"/>
                <w:szCs w:val="21"/>
              </w:rPr>
              <w:t>确保质量管理体系实现其预期结果；</w:t>
            </w:r>
          </w:p>
          <w:p>
            <w:pPr>
              <w:rPr>
                <w:color w:val="000000"/>
                <w:szCs w:val="21"/>
              </w:rPr>
            </w:pPr>
            <w:r>
              <w:rPr>
                <w:rFonts w:hint="eastAsia"/>
                <w:color w:val="000000"/>
                <w:szCs w:val="21"/>
              </w:rPr>
              <w:sym w:font="Wingdings" w:char="00FE"/>
            </w:r>
            <w:r>
              <w:rPr>
                <w:rFonts w:hint="eastAsia"/>
                <w:color w:val="000000"/>
                <w:szCs w:val="21"/>
              </w:rPr>
              <w:t>促使员工积极参与、指导和支持他们为质量管理体系的有效性作出贡献；</w:t>
            </w:r>
          </w:p>
          <w:p>
            <w:pPr>
              <w:rPr>
                <w:color w:val="000000"/>
                <w:szCs w:val="21"/>
              </w:rPr>
            </w:pPr>
            <w:r>
              <w:rPr>
                <w:rFonts w:hint="eastAsia"/>
                <w:color w:val="000000"/>
                <w:szCs w:val="21"/>
              </w:rPr>
              <w:sym w:font="Wingdings" w:char="00FE"/>
            </w:r>
            <w:r>
              <w:rPr>
                <w:rFonts w:hint="eastAsia"/>
                <w:color w:val="000000"/>
                <w:szCs w:val="21"/>
              </w:rPr>
              <w:t>推动改进；</w:t>
            </w:r>
          </w:p>
          <w:p>
            <w:pPr>
              <w:rPr>
                <w:color w:val="000000"/>
                <w:szCs w:val="21"/>
              </w:rPr>
            </w:pPr>
            <w:r>
              <w:rPr>
                <w:rFonts w:hint="eastAsia"/>
                <w:color w:val="000000"/>
                <w:szCs w:val="21"/>
              </w:rPr>
              <w:sym w:font="Wingdings" w:char="00FE"/>
            </w:r>
            <w:r>
              <w:rPr>
                <w:rFonts w:hint="eastAsia"/>
                <w:color w:val="000000"/>
                <w:szCs w:val="21"/>
              </w:rPr>
              <w:t>支持其他相关管理者在其职责范围内发挥领导作用。</w:t>
            </w:r>
          </w:p>
          <w:p>
            <w:pPr>
              <w:rPr>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以顾客为关注焦点</w:t>
            </w:r>
          </w:p>
          <w:p/>
        </w:tc>
        <w:tc>
          <w:tcPr>
            <w:tcW w:w="960" w:type="dxa"/>
            <w:vMerge w:val="restart"/>
          </w:tcPr>
          <w:p>
            <w:r>
              <w:rPr>
                <w:rFonts w:hint="eastAsia"/>
              </w:rPr>
              <w:t>Q5.1.2  </w:t>
            </w:r>
          </w:p>
        </w:tc>
        <w:tc>
          <w:tcPr>
            <w:tcW w:w="745" w:type="dxa"/>
          </w:tcPr>
          <w:p>
            <w:r>
              <w:rPr>
                <w:rFonts w:hint="eastAsia"/>
              </w:rPr>
              <w:t>文件名称</w:t>
            </w:r>
          </w:p>
        </w:tc>
        <w:tc>
          <w:tcPr>
            <w:tcW w:w="9259" w:type="dxa"/>
          </w:tcPr>
          <w:p>
            <w:r>
              <w:rPr>
                <w:rFonts w:hint="eastAsia"/>
              </w:rPr>
              <w:t>如：☑管理手册第5.1章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最高管理者证实其以顾客为关注焦点的领导作用和承诺：</w:t>
            </w:r>
          </w:p>
          <w:p>
            <w:pPr>
              <w:rPr>
                <w:color w:val="000000"/>
                <w:szCs w:val="21"/>
              </w:rPr>
            </w:pPr>
            <w:r>
              <w:rPr>
                <w:rFonts w:hint="eastAsia"/>
              </w:rPr>
              <w:t>☑</w:t>
            </w:r>
            <w:r>
              <w:rPr>
                <w:rFonts w:hint="eastAsia"/>
                <w:color w:val="000000"/>
                <w:szCs w:val="21"/>
              </w:rPr>
              <w:t xml:space="preserve">确定、理解并持续地满足顾客要求以及适用的法律法规要求； </w:t>
            </w:r>
          </w:p>
          <w:p>
            <w:pPr>
              <w:rPr>
                <w:color w:val="000000"/>
                <w:szCs w:val="21"/>
              </w:rPr>
            </w:pPr>
            <w:r>
              <w:rPr>
                <w:rFonts w:hint="eastAsia"/>
              </w:rPr>
              <w:t>☑</w:t>
            </w:r>
            <w:r>
              <w:rPr>
                <w:rFonts w:hint="eastAsia"/>
                <w:color w:val="000000"/>
                <w:szCs w:val="21"/>
              </w:rPr>
              <w:t xml:space="preserve">确定和应对能够影响产品和服务的符合性以及增强顾客满意能力的风险和机遇； </w:t>
            </w:r>
          </w:p>
          <w:p>
            <w:pPr>
              <w:rPr>
                <w:color w:val="000000"/>
                <w:szCs w:val="21"/>
              </w:rPr>
            </w:pPr>
            <w:r>
              <w:rPr>
                <w:rFonts w:hint="eastAsia"/>
              </w:rPr>
              <w:t>☑</w:t>
            </w:r>
            <w:r>
              <w:rPr>
                <w:rFonts w:hint="eastAsia"/>
                <w:color w:val="000000"/>
                <w:szCs w:val="21"/>
              </w:rPr>
              <w:t xml:space="preserve">始终致力于增强顾客满意。 </w:t>
            </w:r>
          </w:p>
          <w:p>
            <w:pPr>
              <w:rPr>
                <w:color w:val="000000"/>
                <w:szCs w:val="21"/>
              </w:rPr>
            </w:pPr>
            <w:r>
              <w:rPr>
                <w:rFonts w:hint="eastAsia"/>
              </w:rPr>
              <w:t>通过的方式——</w:t>
            </w:r>
          </w:p>
          <w:p>
            <w:r>
              <w:rPr>
                <w:rFonts w:hint="eastAsia"/>
                <w:color w:val="000000"/>
                <w:szCs w:val="21"/>
              </w:rPr>
              <w:t xml:space="preserve"> </w:t>
            </w:r>
            <w:r>
              <w:rPr>
                <w:rFonts w:hint="eastAsia"/>
              </w:rPr>
              <w:t>☑以身作则 ☑建立机制 ☑法规宣传 ☑风险机遇的应对 ☑重视顾客反馈 ☑目标考核 □其他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方针</w:t>
            </w:r>
          </w:p>
        </w:tc>
        <w:tc>
          <w:tcPr>
            <w:tcW w:w="960" w:type="dxa"/>
            <w:vMerge w:val="restart"/>
          </w:tcPr>
          <w:p>
            <w:r>
              <w:rPr>
                <w:rFonts w:hint="eastAsia"/>
              </w:rPr>
              <w:t>Q5.2  </w:t>
            </w:r>
          </w:p>
        </w:tc>
        <w:tc>
          <w:tcPr>
            <w:tcW w:w="745" w:type="dxa"/>
          </w:tcPr>
          <w:p>
            <w:r>
              <w:rPr>
                <w:rFonts w:hint="eastAsia"/>
              </w:rPr>
              <w:t>文件名称</w:t>
            </w:r>
          </w:p>
        </w:tc>
        <w:tc>
          <w:tcPr>
            <w:tcW w:w="9259" w:type="dxa"/>
          </w:tcPr>
          <w:p>
            <w:r>
              <w:rPr>
                <w:rFonts w:hint="eastAsia"/>
              </w:rPr>
              <w:t>如：☑管理手册第5.2章 ☑质量方针</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u w:val="single"/>
              </w:rPr>
            </w:pPr>
            <w:r>
              <w:rPr>
                <w:rFonts w:hint="eastAsia"/>
                <w:color w:val="000000"/>
                <w:szCs w:val="21"/>
              </w:rPr>
              <w:t xml:space="preserve"> </w:t>
            </w:r>
            <w:r>
              <w:rPr>
                <w:rFonts w:hint="eastAsia"/>
              </w:rPr>
              <w:t>最高管理者制定了文件化的管理体系方针：</w:t>
            </w:r>
          </w:p>
          <w:p>
            <w:pPr>
              <w:ind w:left="480"/>
              <w:rPr>
                <w:rFonts w:hint="eastAsia"/>
                <w:szCs w:val="22"/>
                <w:u w:val="single"/>
              </w:rPr>
            </w:pPr>
            <w:r>
              <w:rPr>
                <w:rFonts w:hint="eastAsia"/>
                <w:szCs w:val="22"/>
                <w:u w:val="single"/>
              </w:rPr>
              <w:t xml:space="preserve"> 守法诚信、公正科学、业主至上、优质服务、持续改进</w:t>
            </w:r>
            <w:r>
              <w:rPr>
                <w:rFonts w:hint="eastAsia"/>
                <w:szCs w:val="22"/>
                <w:u w:val="single"/>
                <w:lang w:eastAsia="zh-CN"/>
              </w:rPr>
              <w:t>；</w:t>
            </w:r>
            <w:r>
              <w:rPr>
                <w:rFonts w:hint="eastAsia"/>
                <w:szCs w:val="22"/>
                <w:u w:val="single"/>
              </w:rPr>
              <w:t>全员环保、污染预防；节能降耗、遵规守法</w:t>
            </w:r>
            <w:r>
              <w:rPr>
                <w:rFonts w:hint="eastAsia"/>
                <w:szCs w:val="22"/>
                <w:u w:val="single"/>
                <w:lang w:eastAsia="zh-CN"/>
              </w:rPr>
              <w:t>；</w:t>
            </w:r>
            <w:r>
              <w:rPr>
                <w:rFonts w:hint="eastAsia"/>
                <w:szCs w:val="22"/>
                <w:u w:val="single"/>
              </w:rPr>
              <w:t>实施持续的质量改进，实现最高客户满意度</w:t>
            </w:r>
          </w:p>
          <w:p>
            <w:r>
              <w:rPr>
                <w:rFonts w:hint="eastAsia"/>
              </w:rPr>
              <w:t>☑适应组织的宗旨和环境并支持其战略方向</w:t>
            </w:r>
          </w:p>
          <w:p>
            <w:pPr>
              <w:rPr>
                <w:lang w:val="en-GB"/>
              </w:rPr>
            </w:pPr>
            <w:r>
              <w:rPr>
                <w:rFonts w:hint="eastAsia"/>
              </w:rPr>
              <w:t>☑</w:t>
            </w:r>
            <w:r>
              <w:rPr>
                <w:rFonts w:hint="eastAsia"/>
                <w:lang w:val="en-GB"/>
              </w:rPr>
              <w:t>质量方针合理恰当并为相应的质量目标提供了框架。</w:t>
            </w:r>
          </w:p>
          <w:p>
            <w:r>
              <w:rPr>
                <w:rFonts w:hint="eastAsia"/>
              </w:rPr>
              <w:t xml:space="preserve">☑包括满足适用要求的承诺； </w:t>
            </w:r>
          </w:p>
          <w:p>
            <w:pPr>
              <w:rPr>
                <w:lang w:val="en-GB"/>
              </w:rPr>
            </w:pPr>
            <w:r>
              <w:rPr>
                <w:rFonts w:hint="eastAsia"/>
              </w:rPr>
              <w:t>☑包括持续改进质量管理体系的承诺</w:t>
            </w:r>
          </w:p>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组织的岗位、职责和权限</w:t>
            </w:r>
          </w:p>
          <w:p/>
        </w:tc>
        <w:tc>
          <w:tcPr>
            <w:tcW w:w="960" w:type="dxa"/>
            <w:vMerge w:val="restart"/>
          </w:tcPr>
          <w:p>
            <w:r>
              <w:rPr>
                <w:rFonts w:hint="eastAsia"/>
              </w:rPr>
              <w:t>Q5.3  </w:t>
            </w:r>
          </w:p>
        </w:tc>
        <w:tc>
          <w:tcPr>
            <w:tcW w:w="745" w:type="dxa"/>
          </w:tcPr>
          <w:p>
            <w:r>
              <w:rPr>
                <w:rFonts w:hint="eastAsia"/>
              </w:rPr>
              <w:t>文件名称</w:t>
            </w:r>
          </w:p>
        </w:tc>
        <w:tc>
          <w:tcPr>
            <w:tcW w:w="9259" w:type="dxa"/>
          </w:tcPr>
          <w:p>
            <w:r>
              <w:rPr>
                <w:rFonts w:hint="eastAsia"/>
              </w:rPr>
              <w:t>如：☑管理手册第5.3章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最高管理者确定了组织架构及相关岗位的职责、权限，并进行了全员的沟通和理解；</w:t>
            </w:r>
          </w:p>
          <w:p>
            <w:r>
              <w:rPr>
                <w:rFonts w:hint="eastAsia"/>
              </w:rPr>
              <w:t>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过程过程</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质量管理体系策划和推动</w:t>
                  </w:r>
                </w:p>
              </w:tc>
              <w:tc>
                <w:tcPr>
                  <w:tcW w:w="2261" w:type="dxa"/>
                </w:tcPr>
                <w:p>
                  <w:pPr>
                    <w:rPr>
                      <w:rFonts w:hint="eastAsia" w:eastAsia="宋体"/>
                      <w:lang w:eastAsia="zh-CN"/>
                    </w:rPr>
                  </w:pPr>
                  <w:r>
                    <w:rPr>
                      <w:rFonts w:hint="eastAsia"/>
                      <w:lang w:val="en-US" w:eastAsia="zh-CN"/>
                    </w:rPr>
                    <w:t>行政部</w:t>
                  </w:r>
                </w:p>
              </w:tc>
              <w:tc>
                <w:tcPr>
                  <w:tcW w:w="2261" w:type="dxa"/>
                </w:tcPr>
                <w:p>
                  <w:r>
                    <w:rPr>
                      <w:rFonts w:hint="eastAsia"/>
                    </w:rPr>
                    <w:t>生产/服务设计开发过程</w:t>
                  </w:r>
                </w:p>
              </w:tc>
              <w:tc>
                <w:tcPr>
                  <w:tcW w:w="2261" w:type="dxa"/>
                </w:tcPr>
                <w:p>
                  <w:r>
                    <w:rPr>
                      <w:rFonts w:hint="eastAsia"/>
                      <w:lang w:val="en-US" w:eastAsia="zh-CN"/>
                    </w:rPr>
                    <w:t>生产</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r>
                    <w:rPr>
                      <w:rFonts w:hint="eastAsia"/>
                    </w:rPr>
                    <w:t>供销部</w:t>
                  </w:r>
                </w:p>
              </w:tc>
              <w:tc>
                <w:tcPr>
                  <w:tcW w:w="2261" w:type="dxa"/>
                </w:tcPr>
                <w:p>
                  <w:r>
                    <w:rPr>
                      <w:rFonts w:hint="eastAsia"/>
                    </w:rPr>
                    <w:t>生产/服务提供过程</w:t>
                  </w:r>
                </w:p>
              </w:tc>
              <w:tc>
                <w:tcPr>
                  <w:tcW w:w="2261" w:type="dxa"/>
                </w:tcPr>
                <w:p>
                  <w:r>
                    <w:rPr>
                      <w:rFonts w:hint="eastAsia"/>
                      <w:lang w:val="en-US" w:eastAsia="zh-CN"/>
                    </w:rPr>
                    <w:t>生产</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0" w:type="dxa"/>
                </w:tcPr>
                <w:p>
                  <w:r>
                    <w:rPr>
                      <w:rFonts w:hint="eastAsia"/>
                    </w:rPr>
                    <w:t>外部供方控制</w:t>
                  </w:r>
                </w:p>
              </w:tc>
              <w:tc>
                <w:tcPr>
                  <w:tcW w:w="2261" w:type="dxa"/>
                </w:tcPr>
                <w:p>
                  <w:r>
                    <w:rPr>
                      <w:rFonts w:hint="eastAsia"/>
                    </w:rPr>
                    <w:t>供销部</w:t>
                  </w:r>
                </w:p>
              </w:tc>
              <w:tc>
                <w:tcPr>
                  <w:tcW w:w="2261" w:type="dxa"/>
                </w:tcPr>
                <w:p>
                  <w:r>
                    <w:rPr>
                      <w:rFonts w:hint="eastAsia"/>
                    </w:rPr>
                    <w:t>生产/服务放行过程</w:t>
                  </w:r>
                </w:p>
              </w:tc>
              <w:tc>
                <w:tcPr>
                  <w:tcW w:w="2261" w:type="dxa"/>
                </w:tcPr>
                <w:p>
                  <w:pPr>
                    <w:rPr>
                      <w:rFonts w:hint="eastAsia" w:eastAsia="宋体"/>
                      <w:lang w:eastAsia="zh-CN"/>
                    </w:rPr>
                  </w:pPr>
                  <w:r>
                    <w:rPr>
                      <w:rFonts w:hint="eastAsia"/>
                      <w:lang w:eastAsia="zh-CN"/>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应对风险和机遇的措施</w:t>
            </w:r>
          </w:p>
          <w:p/>
        </w:tc>
        <w:tc>
          <w:tcPr>
            <w:tcW w:w="960" w:type="dxa"/>
            <w:vMerge w:val="restart"/>
          </w:tcPr>
          <w:p>
            <w:r>
              <w:rPr>
                <w:rFonts w:hint="eastAsia"/>
                <w:color w:val="000000"/>
                <w:szCs w:val="21"/>
              </w:rPr>
              <w:t>Q6.1  </w:t>
            </w:r>
          </w:p>
        </w:tc>
        <w:tc>
          <w:tcPr>
            <w:tcW w:w="745" w:type="dxa"/>
          </w:tcPr>
          <w:p>
            <w:r>
              <w:rPr>
                <w:rFonts w:hint="eastAsia"/>
              </w:rPr>
              <w:t>文件名称</w:t>
            </w:r>
          </w:p>
        </w:tc>
        <w:tc>
          <w:tcPr>
            <w:tcW w:w="9259" w:type="dxa"/>
          </w:tcPr>
          <w:p>
            <w:r>
              <w:rPr>
                <w:rFonts w:hint="eastAsia"/>
              </w:rPr>
              <w:t>如：</w:t>
            </w:r>
            <w:r>
              <w:rPr>
                <w:rFonts w:hint="eastAsia"/>
              </w:rPr>
              <w:sym w:font="Wingdings" w:char="00A8"/>
            </w:r>
            <w:r>
              <w:rPr>
                <w:rFonts w:hint="eastAsia"/>
              </w:rPr>
              <w:t>《</w:t>
            </w:r>
            <w:r>
              <w:rPr>
                <w:rFonts w:hint="eastAsia"/>
                <w:color w:val="000000"/>
                <w:szCs w:val="21"/>
              </w:rPr>
              <w:t>应对风险和机遇</w:t>
            </w:r>
            <w:r>
              <w:rPr>
                <w:rFonts w:hint="eastAsia"/>
              </w:rPr>
              <w:t>控制程序》、</w:t>
            </w:r>
            <w:r>
              <w:rPr>
                <w:rFonts w:hint="eastAsia"/>
              </w:rPr>
              <w:sym w:font="Wingdings" w:char="00FE"/>
            </w:r>
            <w:r>
              <w:rPr>
                <w:rFonts w:hint="eastAsia"/>
              </w:rPr>
              <w:t>管理手册第6.1条款</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7"/>
              <w:tblpPr w:leftFromText="180" w:rightFromText="180" w:vertAnchor="text" w:horzAnchor="page" w:tblpX="88" w:tblpY="-41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9"/>
              <w:gridCol w:w="41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49" w:type="dxa"/>
                </w:tcPr>
                <w:p>
                  <w:r>
                    <w:rPr>
                      <w:rFonts w:hint="eastAsia"/>
                    </w:rPr>
                    <w:t>主要的风险描述</w:t>
                  </w:r>
                </w:p>
              </w:tc>
              <w:tc>
                <w:tcPr>
                  <w:tcW w:w="4156"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Pr>
                <w:p>
                  <w:pPr>
                    <w:rPr>
                      <w:highlight w:val="cyan"/>
                    </w:rPr>
                  </w:pPr>
                  <w:r>
                    <w:rPr>
                      <w:rFonts w:hint="eastAsia" w:ascii="楷体" w:hAnsi="楷体" w:eastAsia="楷体"/>
                    </w:rPr>
                    <w:t>监管部门监管力度的加大，如公司执行不规范，可能存在被查处的风险</w:t>
                  </w:r>
                  <w:r>
                    <w:rPr>
                      <w:rFonts w:hint="eastAsia" w:eastAsia="楷体"/>
                    </w:rPr>
                    <w:t> </w:t>
                  </w:r>
                  <w:r>
                    <w:rPr>
                      <w:rFonts w:hint="eastAsia"/>
                    </w:rPr>
                    <w:t>。</w:t>
                  </w:r>
                </w:p>
              </w:tc>
              <w:tc>
                <w:tcPr>
                  <w:tcW w:w="4156" w:type="dxa"/>
                </w:tcPr>
                <w:p>
                  <w:pPr>
                    <w:rPr>
                      <w:highlight w:val="cyan"/>
                    </w:rPr>
                  </w:pPr>
                  <w:r>
                    <w:rPr>
                      <w:rFonts w:hint="eastAsia"/>
                    </w:rPr>
                    <w:t xml:space="preserve">1. </w:t>
                  </w:r>
                  <w:r>
                    <w:rPr>
                      <w:rFonts w:hint="eastAsia" w:ascii="楷体" w:hAnsi="楷体" w:eastAsia="楷体"/>
                    </w:rPr>
                    <w:t>各级部门严格按照公司的规章制度开展相关工作</w:t>
                  </w:r>
                  <w:r>
                    <w:rPr>
                      <w:rFonts w:hint="eastAsia"/>
                    </w:rPr>
                    <w:t xml:space="preserve">。 2. </w:t>
                  </w:r>
                  <w:r>
                    <w:rPr>
                      <w:rFonts w:hint="eastAsia" w:ascii="楷体" w:hAnsi="楷体" w:eastAsia="楷体"/>
                    </w:rPr>
                    <w:t>职能部门加大公司内部制度执行情况的检查</w:t>
                  </w:r>
                  <w:r>
                    <w:rPr>
                      <w:rFonts w:hint="eastAsia"/>
                    </w:rPr>
                    <w:t>。</w:t>
                  </w:r>
                </w:p>
              </w:tc>
              <w:tc>
                <w:tcPr>
                  <w:tcW w:w="1717"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Pr>
                <w:p>
                  <w:pPr>
                    <w:rPr>
                      <w:szCs w:val="24"/>
                    </w:rPr>
                  </w:pPr>
                  <w:r>
                    <w:rPr>
                      <w:rFonts w:hint="eastAsia"/>
                      <w:szCs w:val="24"/>
                    </w:rPr>
                    <w:t>1.</w:t>
                  </w:r>
                  <w:r>
                    <w:rPr>
                      <w:rFonts w:hint="eastAsia" w:ascii="楷体" w:hAnsi="楷体" w:eastAsia="楷体"/>
                    </w:rPr>
                    <w:t>原材料市场不稳定，希望签订的年度合同和保底价格，带来的采购和资金风险</w:t>
                  </w:r>
                  <w:r>
                    <w:rPr>
                      <w:rFonts w:hint="eastAsia" w:eastAsia="楷体"/>
                    </w:rPr>
                    <w:t> </w:t>
                  </w:r>
                  <w:r>
                    <w:rPr>
                      <w:rFonts w:hint="eastAsia" w:ascii="楷体" w:hAnsi="楷体" w:eastAsia="楷体"/>
                    </w:rPr>
                    <w:t xml:space="preserve"> </w:t>
                  </w:r>
                </w:p>
              </w:tc>
              <w:tc>
                <w:tcPr>
                  <w:tcW w:w="4156" w:type="dxa"/>
                </w:tcPr>
                <w:p>
                  <w:r>
                    <w:rPr>
                      <w:rFonts w:hint="eastAsia"/>
                    </w:rPr>
                    <w:t xml:space="preserve">1. </w:t>
                  </w:r>
                  <w:r>
                    <w:rPr>
                      <w:rFonts w:hint="eastAsia" w:ascii="楷体" w:hAnsi="楷体" w:eastAsia="楷体"/>
                    </w:rPr>
                    <w:t>对公司影响较大的大宗原材 料做好年度采购计划</w:t>
                  </w:r>
                </w:p>
              </w:tc>
              <w:tc>
                <w:tcPr>
                  <w:tcW w:w="1717"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tcPr>
                <w:p>
                  <w:pPr>
                    <w:rPr>
                      <w:szCs w:val="24"/>
                    </w:rPr>
                  </w:pPr>
                  <w:r>
                    <w:rPr>
                      <w:rFonts w:hint="eastAsia" w:ascii="楷体" w:hAnsi="楷体" w:eastAsia="楷体"/>
                    </w:rPr>
                    <w:t>客户对产品质量标准提高，以及对供应周期和售后服务的期望值提升，给公司生产、质量和售后管理提出新的要求；</w:t>
                  </w:r>
                  <w:r>
                    <w:rPr>
                      <w:rFonts w:hint="eastAsia" w:eastAsia="楷体"/>
                    </w:rPr>
                    <w:t> </w:t>
                  </w:r>
                  <w:r>
                    <w:rPr>
                      <w:rFonts w:hint="eastAsia" w:ascii="楷体" w:hAnsi="楷体" w:eastAsia="楷体"/>
                    </w:rPr>
                    <w:t xml:space="preserve"> </w:t>
                  </w:r>
                </w:p>
              </w:tc>
              <w:tc>
                <w:tcPr>
                  <w:tcW w:w="4156" w:type="dxa"/>
                </w:tcPr>
                <w:p>
                  <w:r>
                    <w:rPr>
                      <w:rFonts w:hint="eastAsia"/>
                    </w:rPr>
                    <w:t xml:space="preserve">1. </w:t>
                  </w:r>
                  <w:r>
                    <w:rPr>
                      <w:rFonts w:hint="eastAsia" w:ascii="楷体" w:hAnsi="楷体" w:eastAsia="楷体"/>
                    </w:rPr>
                    <w:t>质检部加强与客户进行质量标准制定的沟通，统一双方的标准和检测方法</w:t>
                  </w:r>
                  <w:r>
                    <w:rPr>
                      <w:rFonts w:hint="eastAsia"/>
                    </w:rPr>
                    <w:t xml:space="preserve">。 2. </w:t>
                  </w:r>
                  <w:r>
                    <w:rPr>
                      <w:rFonts w:hint="eastAsia" w:ascii="楷体" w:hAnsi="楷体" w:eastAsia="楷体"/>
                    </w:rPr>
                    <w:t>生产部门做好生产计划的安 排，保证生产计划的执行；</w:t>
                  </w:r>
                  <w:r>
                    <w:rPr>
                      <w:rFonts w:hint="eastAsia"/>
                    </w:rPr>
                    <w:t xml:space="preserve"> 3. </w:t>
                  </w:r>
                  <w:r>
                    <w:rPr>
                      <w:rFonts w:hint="eastAsia" w:ascii="楷体" w:hAnsi="楷体" w:eastAsia="楷体"/>
                    </w:rPr>
                    <w:t>供销部门加大客户交流沟通，及时处理客户的需求和意见；</w:t>
                  </w:r>
                </w:p>
              </w:tc>
              <w:tc>
                <w:tcPr>
                  <w:tcW w:w="1717" w:type="dxa"/>
                </w:tcPr>
                <w:p>
                  <w:r>
                    <w:rPr>
                      <w:rFonts w:hint="eastAsia"/>
                    </w:rPr>
                    <w:sym w:font="Wingdings" w:char="00FE"/>
                  </w:r>
                  <w:r>
                    <w:rPr>
                      <w:rFonts w:hint="eastAsia"/>
                    </w:rPr>
                    <w:t>有效</w:t>
                  </w:r>
                  <w:r>
                    <w:rPr>
                      <w:rFonts w:hint="eastAsia"/>
                    </w:rPr>
                    <w:sym w:font="Wingdings" w:char="00A8"/>
                  </w:r>
                  <w:r>
                    <w:rPr>
                      <w:rFonts w:hint="eastAsia"/>
                    </w:rPr>
                    <w:t>不足</w:t>
                  </w:r>
                </w:p>
              </w:tc>
            </w:tr>
          </w:tbl>
          <w:p/>
          <w:p>
            <w:r>
              <w:rPr>
                <w:rFonts w:hint="eastAsia"/>
              </w:rPr>
              <w:t xml:space="preserve">应对机遇的措施类型包括： </w:t>
            </w:r>
          </w:p>
          <w:p>
            <w:r>
              <w:rPr>
                <w:rFonts w:hint="eastAsia"/>
              </w:rPr>
              <w:sym w:font="Wingdings" w:char="00FE"/>
            </w:r>
            <w:r>
              <w:rPr>
                <w:rFonts w:hint="eastAsia"/>
              </w:rPr>
              <w:t xml:space="preserve">采用新实践 </w:t>
            </w:r>
            <w:r>
              <w:rPr>
                <w:rFonts w:hint="eastAsia"/>
              </w:rPr>
              <w:sym w:font="Wingdings" w:char="00FE"/>
            </w:r>
            <w:r>
              <w:rPr>
                <w:rFonts w:hint="eastAsia"/>
              </w:rPr>
              <w:t xml:space="preserve">推出新产品  </w:t>
            </w:r>
            <w:r>
              <w:rPr>
                <w:rFonts w:hint="eastAsia"/>
              </w:rPr>
              <w:sym w:font="Wingdings" w:char="00FE"/>
            </w:r>
            <w:r>
              <w:rPr>
                <w:rFonts w:hint="eastAsia"/>
              </w:rPr>
              <w:t xml:space="preserve">开辟新市场  </w:t>
            </w:r>
            <w:r>
              <w:rPr>
                <w:rFonts w:hint="eastAsia"/>
              </w:rPr>
              <w:sym w:font="Wingdings" w:char="00FE"/>
            </w:r>
            <w:r>
              <w:rPr>
                <w:rFonts w:hint="eastAsia"/>
              </w:rPr>
              <w:t xml:space="preserve">赢得新顾客  </w:t>
            </w:r>
            <w:r>
              <w:rPr>
                <w:rFonts w:hint="eastAsia"/>
              </w:rPr>
              <w:sym w:font="Wingdings" w:char="00A8"/>
            </w:r>
            <w:r>
              <w:rPr>
                <w:rFonts w:hint="eastAsia"/>
              </w:rPr>
              <w:t xml:space="preserve">建立合作伙伴关系  </w:t>
            </w:r>
            <w:r>
              <w:rPr>
                <w:rFonts w:hint="eastAsia"/>
              </w:rPr>
              <w:sym w:font="Wingdings" w:char="00FE"/>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7"/>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36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r>
                    <w:rPr>
                      <w:rFonts w:hint="eastAsia"/>
                    </w:rPr>
                    <w:t>主要的机遇描述</w:t>
                  </w:r>
                </w:p>
              </w:tc>
              <w:tc>
                <w:tcPr>
                  <w:tcW w:w="3675"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highlight w:val="cyan"/>
                    </w:rPr>
                  </w:pPr>
                  <w:r>
                    <w:rPr>
                      <w:rFonts w:hint="eastAsia" w:ascii="楷体" w:hAnsi="楷体" w:eastAsia="楷体"/>
                    </w:rPr>
                    <w:t>通过引进新的设备、工艺，提高公司的工艺水平，降低产品成本，提高公司的市场竞争力</w:t>
                  </w:r>
                </w:p>
              </w:tc>
              <w:tc>
                <w:tcPr>
                  <w:tcW w:w="3675" w:type="dxa"/>
                </w:tcPr>
                <w:p>
                  <w:r>
                    <w:rPr>
                      <w:rFonts w:hint="eastAsia" w:ascii="楷体" w:hAnsi="楷体" w:eastAsia="楷体"/>
                    </w:rPr>
                    <w:t>公司根据目前的技术水平，制定 的技术攻关和设备改造计划，先 关职能部门予以有效落实。</w:t>
                  </w:r>
                </w:p>
              </w:tc>
              <w:tc>
                <w:tcPr>
                  <w:tcW w:w="1717"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szCs w:val="24"/>
                    </w:rPr>
                  </w:pPr>
                </w:p>
              </w:tc>
              <w:tc>
                <w:tcPr>
                  <w:tcW w:w="3675" w:type="dxa"/>
                </w:tcPr>
                <w:p/>
              </w:tc>
              <w:tc>
                <w:tcPr>
                  <w:tcW w:w="1717" w:type="dxa"/>
                </w:tcPr>
                <w:p>
                  <w:r>
                    <w:rPr>
                      <w:rFonts w:hint="eastAsia"/>
                    </w:rPr>
                    <w:sym w:font="Wingdings" w:char="00A8"/>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szCs w:val="24"/>
                    </w:rPr>
                  </w:pPr>
                </w:p>
              </w:tc>
              <w:tc>
                <w:tcPr>
                  <w:tcW w:w="3675" w:type="dxa"/>
                </w:tcPr>
                <w:p/>
              </w:tc>
              <w:tc>
                <w:tcPr>
                  <w:tcW w:w="1717" w:type="dxa"/>
                </w:tcPr>
                <w:p>
                  <w:r>
                    <w:rPr>
                      <w:rFonts w:hint="eastAsia"/>
                    </w:rPr>
                    <w:sym w:font="Wingdings" w:char="00A8"/>
                  </w:r>
                  <w:r>
                    <w:rPr>
                      <w:rFonts w:hint="eastAsia"/>
                    </w:rPr>
                    <w:t>有效</w:t>
                  </w:r>
                  <w:r>
                    <w:rPr>
                      <w:rFonts w:hint="eastAsia"/>
                    </w:rPr>
                    <w:sym w:font="Wingdings" w:char="00A8"/>
                  </w:r>
                  <w:r>
                    <w:rPr>
                      <w:rFonts w:hint="eastAsia"/>
                    </w:rPr>
                    <w:t>不足</w:t>
                  </w:r>
                </w:p>
              </w:tc>
            </w:tr>
          </w:tbl>
          <w:p/>
          <w:p>
            <w:r>
              <w:rPr>
                <w:rFonts w:hint="eastAsia"/>
              </w:rPr>
              <w:t>查看</w:t>
            </w:r>
            <w:r>
              <w:rPr>
                <w:rFonts w:hint="eastAsia"/>
              </w:rPr>
              <w:sym w:font="Wingdings" w:char="00FE"/>
            </w:r>
            <w:r>
              <w:rPr>
                <w:rFonts w:hint="eastAsia"/>
              </w:rPr>
              <w:t>《风险和机遇评估分析表》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质量目标及其实现的策划</w:t>
            </w:r>
          </w:p>
          <w:p/>
        </w:tc>
        <w:tc>
          <w:tcPr>
            <w:tcW w:w="960" w:type="dxa"/>
            <w:vMerge w:val="restart"/>
          </w:tcPr>
          <w:p>
            <w:r>
              <w:rPr>
                <w:rFonts w:hint="eastAsia"/>
                <w:color w:val="000000"/>
                <w:szCs w:val="21"/>
              </w:rPr>
              <w:t>Q6.2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w:t>
            </w:r>
            <w:r>
              <w:rPr>
                <w:rFonts w:hint="eastAsia"/>
                <w:color w:val="000000"/>
                <w:szCs w:val="21"/>
              </w:rPr>
              <w:t>质量目标</w:t>
            </w:r>
            <w:r>
              <w:rPr>
                <w:rFonts w:hint="eastAsia"/>
              </w:rPr>
              <w:t>》、</w:t>
            </w:r>
            <w:r>
              <w:rPr>
                <w:rFonts w:hint="eastAsia"/>
              </w:rPr>
              <w:sym w:font="Wingdings" w:char="00A8"/>
            </w:r>
            <w:r>
              <w:rPr>
                <w:rFonts w:hint="eastAsia"/>
              </w:rPr>
              <w:t>《分解目标》</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组织建立了与方针一致的文件化的管理目标。为实现总质量目标而建立的各层级质量目标具体、有针对性、可测量并且可实现。</w:t>
            </w:r>
          </w:p>
          <w:p>
            <w:r>
              <w:rPr>
                <w:rFonts w:hint="eastAsia"/>
              </w:rPr>
              <w:t>总质量目标实现情况的评价，及其测量方法是：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1110"/>
              <w:gridCol w:w="2854"/>
              <w:gridCol w:w="1064"/>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auto"/>
                </w:tcPr>
                <w:p>
                  <w:pPr>
                    <w:rPr>
                      <w:rFonts w:ascii="宋体" w:hAnsi="宋体"/>
                      <w:szCs w:val="24"/>
                    </w:rPr>
                  </w:pPr>
                  <w:r>
                    <w:rPr>
                      <w:rFonts w:hint="eastAsia" w:ascii="宋体" w:hAnsi="宋体"/>
                      <w:szCs w:val="24"/>
                    </w:rPr>
                    <w:t>质量目标</w:t>
                  </w:r>
                </w:p>
              </w:tc>
              <w:tc>
                <w:tcPr>
                  <w:tcW w:w="1110" w:type="dxa"/>
                  <w:shd w:val="clear" w:color="auto" w:fill="auto"/>
                </w:tcPr>
                <w:p>
                  <w:pPr>
                    <w:rPr>
                      <w:rFonts w:ascii="宋体" w:hAnsi="宋体"/>
                      <w:szCs w:val="24"/>
                    </w:rPr>
                  </w:pPr>
                  <w:r>
                    <w:rPr>
                      <w:rFonts w:hint="eastAsia" w:ascii="宋体" w:hAnsi="宋体"/>
                      <w:szCs w:val="24"/>
                    </w:rPr>
                    <w:t>目标值</w:t>
                  </w:r>
                </w:p>
              </w:tc>
              <w:tc>
                <w:tcPr>
                  <w:tcW w:w="2854" w:type="dxa"/>
                  <w:shd w:val="clear" w:color="auto" w:fill="auto"/>
                </w:tcPr>
                <w:p>
                  <w:pPr>
                    <w:rPr>
                      <w:rFonts w:ascii="宋体" w:hAnsi="宋体"/>
                      <w:szCs w:val="24"/>
                    </w:rPr>
                  </w:pPr>
                  <w:r>
                    <w:rPr>
                      <w:rFonts w:hint="eastAsia" w:ascii="宋体" w:hAnsi="宋体"/>
                      <w:szCs w:val="24"/>
                    </w:rPr>
                    <w:t>计算方法</w:t>
                  </w:r>
                </w:p>
              </w:tc>
              <w:tc>
                <w:tcPr>
                  <w:tcW w:w="1064" w:type="dxa"/>
                  <w:shd w:val="clear" w:color="auto" w:fill="auto"/>
                </w:tcPr>
                <w:p>
                  <w:pPr>
                    <w:rPr>
                      <w:rFonts w:ascii="宋体" w:hAnsi="宋体"/>
                      <w:szCs w:val="24"/>
                    </w:rPr>
                  </w:pPr>
                  <w:r>
                    <w:rPr>
                      <w:rFonts w:hint="eastAsia" w:ascii="宋体" w:hAnsi="宋体"/>
                      <w:szCs w:val="24"/>
                    </w:rPr>
                    <w:t>统计频次</w:t>
                  </w:r>
                </w:p>
              </w:tc>
              <w:tc>
                <w:tcPr>
                  <w:tcW w:w="2350" w:type="dxa"/>
                  <w:shd w:val="clear" w:color="auto" w:fill="auto"/>
                </w:tcPr>
                <w:p>
                  <w:pPr>
                    <w:rPr>
                      <w:rFonts w:ascii="宋体" w:hAnsi="宋体"/>
                      <w:szCs w:val="24"/>
                    </w:rPr>
                  </w:pPr>
                  <w:r>
                    <w:rPr>
                      <w:rFonts w:hint="eastAsia" w:ascii="宋体" w:hAnsi="宋体"/>
                      <w:szCs w:val="24"/>
                    </w:rPr>
                    <w:t>2020.11-2021.3目标实际完成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auto"/>
                  <w:vAlign w:val="center"/>
                </w:tcPr>
                <w:p>
                  <w:r>
                    <w:rPr>
                      <w:rFonts w:hint="eastAsia"/>
                    </w:rPr>
                    <w:t>产品一次交验合格率</w:t>
                  </w:r>
                </w:p>
              </w:tc>
              <w:tc>
                <w:tcPr>
                  <w:tcW w:w="1110" w:type="dxa"/>
                  <w:shd w:val="clear" w:color="auto" w:fill="auto"/>
                  <w:vAlign w:val="center"/>
                </w:tcPr>
                <w:p>
                  <w:pPr>
                    <w:rPr>
                      <w:rFonts w:hint="eastAsia" w:ascii="Times New Roman" w:hAnsi="Times New Roman" w:cs="Times New Roman"/>
                    </w:rPr>
                  </w:pPr>
                  <w:r>
                    <w:rPr>
                      <w:rFonts w:hint="eastAsia" w:ascii="Times New Roman" w:hAnsi="Times New Roman" w:cs="Times New Roman"/>
                      <w:lang w:val="en-US" w:eastAsia="zh-CN"/>
                    </w:rPr>
                    <w:t>98</w:t>
                  </w:r>
                  <w:r>
                    <w:rPr>
                      <w:rFonts w:hint="eastAsia" w:ascii="Times New Roman" w:hAnsi="Times New Roman" w:cs="Times New Roman"/>
                    </w:rPr>
                    <w:t>%</w:t>
                  </w:r>
                </w:p>
              </w:tc>
              <w:tc>
                <w:tcPr>
                  <w:tcW w:w="2854" w:type="dxa"/>
                  <w:shd w:val="clear" w:color="auto" w:fill="auto"/>
                  <w:vAlign w:val="center"/>
                </w:tcPr>
                <w:p>
                  <w:pPr>
                    <w:rPr>
                      <w:rFonts w:hint="eastAsia" w:ascii="Times New Roman" w:hAnsi="Times New Roman" w:cs="Times New Roman"/>
                    </w:rPr>
                  </w:pPr>
                  <w:r>
                    <w:rPr>
                      <w:rFonts w:hint="eastAsia" w:ascii="Times New Roman" w:hAnsi="Times New Roman" w:cs="Times New Roman"/>
                      <w:lang w:val="en-US" w:eastAsia="zh-CN"/>
                    </w:rPr>
                    <w:t>目标值=（各个顾客满意度平均分值之和/顾客总数）</w:t>
                  </w:r>
                </w:p>
              </w:tc>
              <w:tc>
                <w:tcPr>
                  <w:tcW w:w="1064" w:type="dxa"/>
                  <w:shd w:val="clear" w:color="auto" w:fill="auto"/>
                  <w:vAlign w:val="center"/>
                </w:tcPr>
                <w:p>
                  <w:pPr>
                    <w:rPr>
                      <w:szCs w:val="24"/>
                    </w:rPr>
                  </w:pPr>
                  <w:r>
                    <w:rPr>
                      <w:rFonts w:hint="eastAsia"/>
                      <w:szCs w:val="24"/>
                    </w:rPr>
                    <w:t>每月</w:t>
                  </w:r>
                </w:p>
              </w:tc>
              <w:tc>
                <w:tcPr>
                  <w:tcW w:w="2350" w:type="dxa"/>
                  <w:shd w:val="clear" w:color="auto" w:fill="auto"/>
                </w:tcPr>
                <w:p>
                  <w:pPr>
                    <w:rPr>
                      <w:lang w:val="en-GB"/>
                    </w:rPr>
                  </w:pPr>
                  <w:r>
                    <w:rPr>
                      <w:rFonts w:hint="eastAsia"/>
                    </w:rPr>
                    <w:sym w:font="Wingdings" w:char="00FE"/>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r>
                    <w:rPr>
                      <w:rFonts w:hint="eastAsia"/>
                    </w:rPr>
                    <w:t>顾客满意度</w:t>
                  </w:r>
                </w:p>
              </w:tc>
              <w:tc>
                <w:tcPr>
                  <w:tcW w:w="1110" w:type="dxa"/>
                  <w:vAlign w:val="center"/>
                </w:tcPr>
                <w:p>
                  <w:pPr>
                    <w:rPr>
                      <w:rFonts w:hint="eastAsia" w:ascii="Times New Roman" w:hAnsi="Times New Roman" w:cs="Times New Roman"/>
                    </w:rPr>
                  </w:pPr>
                  <w:r>
                    <w:rPr>
                      <w:rFonts w:hint="eastAsia" w:ascii="Times New Roman" w:hAnsi="Times New Roman" w:cs="Times New Roman"/>
                      <w:lang w:val="en-US" w:eastAsia="zh-CN"/>
                    </w:rPr>
                    <w:t>90</w:t>
                  </w:r>
                  <w:r>
                    <w:rPr>
                      <w:rFonts w:hint="eastAsia" w:ascii="Times New Roman" w:hAnsi="Times New Roman" w:cs="Times New Roman"/>
                    </w:rPr>
                    <w:t>%</w:t>
                  </w:r>
                </w:p>
              </w:tc>
              <w:tc>
                <w:tcPr>
                  <w:tcW w:w="2854" w:type="dxa"/>
                  <w:vAlign w:val="center"/>
                </w:tcPr>
                <w:p>
                  <w:pPr>
                    <w:rPr>
                      <w:rFonts w:hint="eastAsia" w:ascii="Times New Roman" w:hAnsi="Times New Roman" w:cs="Times New Roman"/>
                    </w:rPr>
                  </w:pPr>
                  <w:r>
                    <w:rPr>
                      <w:rFonts w:hint="eastAsia" w:ascii="Times New Roman" w:hAnsi="Times New Roman" w:cs="Times New Roman"/>
                      <w:lang w:val="en-US" w:eastAsia="zh-CN"/>
                    </w:rPr>
                    <w:t xml:space="preserve">目标值=（产品一次性合格批数/合格总数）*100%    </w:t>
                  </w:r>
                </w:p>
              </w:tc>
              <w:tc>
                <w:tcPr>
                  <w:tcW w:w="1064" w:type="dxa"/>
                  <w:vAlign w:val="center"/>
                </w:tcPr>
                <w:p>
                  <w:pPr>
                    <w:rPr>
                      <w:szCs w:val="24"/>
                    </w:rPr>
                  </w:pPr>
                  <w:r>
                    <w:rPr>
                      <w:rFonts w:hint="eastAsia"/>
                      <w:szCs w:val="24"/>
                    </w:rPr>
                    <w:t>每年</w:t>
                  </w:r>
                </w:p>
              </w:tc>
              <w:tc>
                <w:tcPr>
                  <w:tcW w:w="2350" w:type="dxa"/>
                </w:tcPr>
                <w:p>
                  <w:pPr>
                    <w:rPr>
                      <w:lang w:val="en-GB"/>
                    </w:rPr>
                  </w:pPr>
                  <w:r>
                    <w:rPr>
                      <w:rFonts w:hint="eastAsia"/>
                    </w:rPr>
                    <w:sym w:font="Wingdings" w:char="00FE"/>
                  </w:r>
                  <w:r>
                    <w:rPr>
                      <w:rFonts w:hint="eastAsia"/>
                    </w:rPr>
                    <w:t xml:space="preserve">是 </w:t>
                  </w:r>
                  <w:r>
                    <w:rPr>
                      <w:rFonts w:hint="eastAsia"/>
                    </w:rPr>
                    <w:sym w:font="Wingdings" w:char="00FE"/>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pPr>
                    <w:rPr>
                      <w:rFonts w:hint="eastAsia"/>
                    </w:rPr>
                  </w:pPr>
                </w:p>
              </w:tc>
              <w:tc>
                <w:tcPr>
                  <w:tcW w:w="1110" w:type="dxa"/>
                  <w:vAlign w:val="center"/>
                </w:tcPr>
                <w:p>
                  <w:pPr>
                    <w:rPr>
                      <w:rFonts w:hint="eastAsia"/>
                      <w:lang w:val="en-US" w:eastAsia="zh-CN"/>
                    </w:rPr>
                  </w:pPr>
                </w:p>
              </w:tc>
              <w:tc>
                <w:tcPr>
                  <w:tcW w:w="2854" w:type="dxa"/>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18"/>
                      <w:szCs w:val="18"/>
                      <w:u w:val="none"/>
                      <w:lang w:val="en-US" w:eastAsia="zh-CN" w:bidi="ar"/>
                    </w:rPr>
                  </w:pPr>
                </w:p>
              </w:tc>
              <w:tc>
                <w:tcPr>
                  <w:tcW w:w="1064" w:type="dxa"/>
                  <w:vAlign w:val="center"/>
                </w:tcPr>
                <w:p>
                  <w:pPr>
                    <w:rPr>
                      <w:rFonts w:hint="eastAsia"/>
                      <w:szCs w:val="24"/>
                    </w:rPr>
                  </w:pPr>
                </w:p>
              </w:tc>
              <w:tc>
                <w:tcPr>
                  <w:tcW w:w="2350" w:type="dxa"/>
                </w:tcPr>
                <w:p>
                  <w:pPr>
                    <w:rPr>
                      <w:rFonts w:hint="eastAsia"/>
                    </w:rPr>
                  </w:pP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变更的策划</w:t>
            </w:r>
          </w:p>
          <w:p/>
        </w:tc>
        <w:tc>
          <w:tcPr>
            <w:tcW w:w="960" w:type="dxa"/>
            <w:vMerge w:val="restart"/>
          </w:tcPr>
          <w:p>
            <w:r>
              <w:rPr>
                <w:rFonts w:hint="eastAsia"/>
                <w:color w:val="000000"/>
                <w:szCs w:val="21"/>
              </w:rPr>
              <w:t>Q6.3  </w:t>
            </w:r>
          </w:p>
        </w:tc>
        <w:tc>
          <w:tcPr>
            <w:tcW w:w="745" w:type="dxa"/>
          </w:tcPr>
          <w:p>
            <w:r>
              <w:rPr>
                <w:rFonts w:hint="eastAsia"/>
              </w:rPr>
              <w:t>文件名称</w:t>
            </w:r>
          </w:p>
        </w:tc>
        <w:tc>
          <w:tcPr>
            <w:tcW w:w="9259" w:type="dxa"/>
          </w:tcPr>
          <w:p>
            <w:r>
              <w:rPr>
                <w:rFonts w:hint="eastAsia"/>
              </w:rPr>
              <w:t>如：手册第6.3条款、</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☑无变更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pPr>
                    <w:rPr>
                      <w:highlight w:val="cyan"/>
                    </w:rPr>
                  </w:pPr>
                  <w:r>
                    <w:rPr>
                      <w:rFonts w:hint="eastAsia"/>
                    </w:rPr>
                    <w:t>无</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auto"/>
              </w:rPr>
            </w:pPr>
            <w:r>
              <w:rPr>
                <w:rFonts w:hint="eastAsia"/>
                <w:color w:val="auto"/>
              </w:rPr>
              <w:t>资源（总则）</w:t>
            </w:r>
          </w:p>
        </w:tc>
        <w:tc>
          <w:tcPr>
            <w:tcW w:w="960" w:type="dxa"/>
            <w:vMerge w:val="restart"/>
          </w:tcPr>
          <w:p>
            <w:pPr>
              <w:rPr>
                <w:color w:val="auto"/>
              </w:rPr>
            </w:pPr>
            <w:r>
              <w:rPr>
                <w:rFonts w:hint="eastAsia"/>
                <w:color w:val="auto"/>
                <w:szCs w:val="21"/>
              </w:rPr>
              <w:t>Q7.1 </w:t>
            </w:r>
          </w:p>
        </w:tc>
        <w:tc>
          <w:tcPr>
            <w:tcW w:w="745" w:type="dxa"/>
          </w:tcPr>
          <w:p>
            <w:pPr>
              <w:rPr>
                <w:color w:val="auto"/>
              </w:rPr>
            </w:pPr>
            <w:r>
              <w:rPr>
                <w:rFonts w:hint="eastAsia"/>
                <w:color w:val="auto"/>
              </w:rPr>
              <w:t>文件名称</w:t>
            </w:r>
          </w:p>
        </w:tc>
        <w:tc>
          <w:tcPr>
            <w:tcW w:w="9259" w:type="dxa"/>
          </w:tcPr>
          <w:p>
            <w:pPr>
              <w:rPr>
                <w:color w:val="auto"/>
              </w:rPr>
            </w:pPr>
            <w:r>
              <w:rPr>
                <w:rFonts w:hint="eastAsia"/>
                <w:color w:val="auto"/>
              </w:rPr>
              <w:t>如：手册第7.1条款、</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szCs w:val="21"/>
              </w:rPr>
            </w:pPr>
            <w:r>
              <w:rPr>
                <w:rFonts w:hint="eastAsia"/>
                <w:color w:val="auto"/>
                <w:szCs w:val="21"/>
              </w:rPr>
              <w:t xml:space="preserve">和最高管理层确定并提供所需的资源，以建立、实施、保持和持续改进质量管理体系。 </w:t>
            </w:r>
          </w:p>
          <w:p>
            <w:pPr>
              <w:numPr>
                <w:ilvl w:val="0"/>
                <w:numId w:val="1"/>
              </w:numPr>
              <w:rPr>
                <w:color w:val="auto"/>
                <w:szCs w:val="21"/>
              </w:rPr>
            </w:pPr>
            <w:r>
              <w:rPr>
                <w:rFonts w:hint="eastAsia"/>
                <w:color w:val="auto"/>
                <w:szCs w:val="21"/>
              </w:rPr>
              <w:t>现有内部资源的能力；</w:t>
            </w:r>
          </w:p>
          <w:p>
            <w:pPr>
              <w:rPr>
                <w:color w:val="auto"/>
              </w:rPr>
            </w:pPr>
            <w:r>
              <w:rPr>
                <w:rFonts w:hint="eastAsia"/>
                <w:color w:val="auto"/>
              </w:rPr>
              <w:t>建筑面积</w:t>
            </w:r>
            <w:r>
              <w:rPr>
                <w:rFonts w:hint="eastAsia"/>
                <w:color w:val="auto"/>
                <w:u w:val="single"/>
              </w:rPr>
              <w:t xml:space="preserve">  </w:t>
            </w:r>
            <w:r>
              <w:rPr>
                <w:rFonts w:hint="eastAsia"/>
                <w:color w:val="auto"/>
                <w:u w:val="single"/>
                <w:lang w:val="en-US" w:eastAsia="zh-CN"/>
              </w:rPr>
              <w:t>70000</w:t>
            </w:r>
            <w:r>
              <w:rPr>
                <w:rFonts w:hint="eastAsia"/>
                <w:color w:val="auto"/>
                <w:u w:val="single"/>
              </w:rPr>
              <w:t xml:space="preserve">  </w:t>
            </w:r>
            <w:r>
              <w:rPr>
                <w:rFonts w:hint="eastAsia"/>
                <w:color w:val="auto"/>
              </w:rPr>
              <w:t>平方米；生产车间</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rPr>
              <w:t>个；库房</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rPr>
              <w:t>个；实验室</w:t>
            </w:r>
            <w:r>
              <w:rPr>
                <w:rFonts w:hint="eastAsia"/>
                <w:color w:val="auto"/>
                <w:u w:val="single"/>
              </w:rPr>
              <w:t xml:space="preserve"> 1  </w:t>
            </w:r>
            <w:r>
              <w:rPr>
                <w:rFonts w:hint="eastAsia"/>
                <w:color w:val="auto"/>
              </w:rPr>
              <w:t>个；</w:t>
            </w:r>
          </w:p>
          <w:p>
            <w:pPr>
              <w:rPr>
                <w:color w:val="auto"/>
                <w:u w:val="single"/>
              </w:rPr>
            </w:pPr>
            <w:r>
              <w:rPr>
                <w:rFonts w:hint="eastAsia"/>
                <w:color w:val="auto"/>
              </w:rPr>
              <w:t>主要生产设备有：</w:t>
            </w:r>
            <w:r>
              <w:rPr>
                <w:rFonts w:hint="eastAsia"/>
                <w:color w:val="auto"/>
                <w:u w:val="single"/>
              </w:rPr>
              <w:t xml:space="preserve"> 隧道窑、送料输送带</w:t>
            </w:r>
            <w:r>
              <w:rPr>
                <w:rFonts w:hint="eastAsia" w:ascii="Times New Roman" w:hAnsi="Times New Roman" w:cs="Times New Roman"/>
                <w:color w:val="auto"/>
                <w:u w:val="single"/>
              </w:rPr>
              <w:t xml:space="preserve">、球磨机    </w:t>
            </w:r>
            <w:r>
              <w:rPr>
                <w:rFonts w:hint="eastAsia"/>
                <w:color w:val="auto"/>
                <w:u w:val="single"/>
              </w:rPr>
              <w:t>（列举2~4种）</w:t>
            </w:r>
          </w:p>
          <w:p>
            <w:pPr>
              <w:rPr>
                <w:color w:val="auto"/>
              </w:rPr>
            </w:pPr>
            <w:r>
              <w:rPr>
                <w:rFonts w:hint="eastAsia"/>
                <w:color w:val="auto"/>
              </w:rPr>
              <w:t>特种设备：</w:t>
            </w:r>
            <w:r>
              <w:rPr>
                <w:rFonts w:hint="eastAsia"/>
                <w:color w:val="auto"/>
              </w:rPr>
              <w:sym w:font="Wingdings" w:char="00FE"/>
            </w:r>
            <w:r>
              <w:rPr>
                <w:rFonts w:hint="eastAsia"/>
                <w:color w:val="auto"/>
              </w:rPr>
              <w:t xml:space="preserve">叉车 </w:t>
            </w:r>
            <w:r>
              <w:rPr>
                <w:rFonts w:hint="eastAsia"/>
                <w:color w:val="auto"/>
              </w:rPr>
              <w:sym w:font="Wingdings" w:char="00A8"/>
            </w:r>
            <w:r>
              <w:rPr>
                <w:rFonts w:hint="eastAsia"/>
                <w:color w:val="auto"/>
              </w:rPr>
              <w:t xml:space="preserve">行车 </w:t>
            </w:r>
            <w:r>
              <w:rPr>
                <w:rFonts w:hint="eastAsia"/>
                <w:color w:val="auto"/>
              </w:rPr>
              <w:sym w:font="Wingdings" w:char="00A8"/>
            </w:r>
            <w:r>
              <w:rPr>
                <w:rFonts w:hint="eastAsia"/>
                <w:color w:val="auto"/>
              </w:rPr>
              <w:t xml:space="preserve">锅炉 </w:t>
            </w:r>
            <w:r>
              <w:rPr>
                <w:rFonts w:hint="eastAsia"/>
                <w:color w:val="auto"/>
              </w:rPr>
              <w:sym w:font="Wingdings" w:char="00A8"/>
            </w:r>
            <w:r>
              <w:rPr>
                <w:rFonts w:hint="eastAsia"/>
                <w:color w:val="auto"/>
              </w:rPr>
              <w:t xml:space="preserve">电梯  </w:t>
            </w:r>
            <w:r>
              <w:rPr>
                <w:rFonts w:hint="eastAsia"/>
                <w:color w:val="auto"/>
              </w:rPr>
              <w:sym w:font="Wingdings" w:char="00FE"/>
            </w:r>
            <w:r>
              <w:rPr>
                <w:rFonts w:hint="eastAsia"/>
                <w:color w:val="auto"/>
              </w:rPr>
              <w:t xml:space="preserve">压力容器  </w:t>
            </w:r>
            <w:r>
              <w:rPr>
                <w:rFonts w:hint="eastAsia"/>
                <w:color w:val="auto"/>
              </w:rPr>
              <w:sym w:font="Wingdings" w:char="00A8"/>
            </w:r>
            <w:r>
              <w:rPr>
                <w:rFonts w:hint="eastAsia"/>
                <w:color w:val="auto"/>
              </w:rPr>
              <w:t xml:space="preserve">压力管道  </w:t>
            </w:r>
            <w:r>
              <w:rPr>
                <w:rFonts w:hint="eastAsia"/>
                <w:color w:val="auto"/>
              </w:rPr>
              <w:sym w:font="Wingdings" w:char="00A8"/>
            </w:r>
            <w:r>
              <w:rPr>
                <w:rFonts w:hint="eastAsia"/>
                <w:color w:val="auto"/>
              </w:rPr>
              <w:t xml:space="preserve">不适用  </w:t>
            </w:r>
          </w:p>
          <w:p>
            <w:pPr>
              <w:rPr>
                <w:rFonts w:hint="eastAsia"/>
                <w:color w:val="auto"/>
                <w:u w:val="single"/>
              </w:rPr>
            </w:pPr>
            <w:r>
              <w:rPr>
                <w:rFonts w:hint="eastAsia"/>
                <w:color w:val="auto"/>
              </w:rPr>
              <w:t>特种设备管理：</w:t>
            </w:r>
            <w:r>
              <w:rPr>
                <w:rFonts w:hint="eastAsia"/>
                <w:color w:val="auto"/>
              </w:rPr>
              <w:sym w:font="Wingdings" w:char="00FE"/>
            </w:r>
            <w:r>
              <w:rPr>
                <w:rFonts w:hint="eastAsia"/>
                <w:color w:val="auto"/>
              </w:rPr>
              <w:t xml:space="preserve">进行了定期检验  </w:t>
            </w:r>
            <w:r>
              <w:rPr>
                <w:rFonts w:hint="eastAsia"/>
                <w:color w:val="auto"/>
              </w:rPr>
              <w:sym w:font="Wingdings" w:char="00A8"/>
            </w:r>
            <w:r>
              <w:rPr>
                <w:rFonts w:hint="eastAsia"/>
                <w:color w:val="auto"/>
              </w:rPr>
              <w:t xml:space="preserve">未进行定期检验的有： </w:t>
            </w:r>
            <w:r>
              <w:rPr>
                <w:rFonts w:hint="eastAsia"/>
                <w:color w:val="auto"/>
                <w:u w:val="single"/>
              </w:rPr>
              <w:t xml:space="preserve">            </w:t>
            </w:r>
          </w:p>
          <w:p>
            <w:pPr>
              <w:pStyle w:val="2"/>
              <w:rPr>
                <w:rFonts w:hint="eastAsia"/>
                <w:color w:val="auto"/>
                <w:u w:val="single"/>
                <w:lang w:val="en-US" w:eastAsia="zh-CN"/>
              </w:rPr>
            </w:pPr>
            <w:r>
              <w:rPr>
                <w:rFonts w:hint="eastAsia"/>
                <w:color w:val="auto"/>
                <w:u w:val="single"/>
                <w:lang w:val="en-US" w:eastAsia="zh-CN"/>
              </w:rPr>
              <w:t>公司租赁一方科技发展有限公司的场地，提供租赁协议，合同编号：ZJYF20200922</w:t>
            </w:r>
          </w:p>
          <w:p>
            <w:pPr>
              <w:pStyle w:val="2"/>
              <w:rPr>
                <w:rFonts w:hint="default"/>
                <w:color w:val="auto"/>
                <w:u w:val="single"/>
                <w:lang w:val="en-US" w:eastAsia="zh-CN"/>
              </w:rPr>
            </w:pPr>
            <w:r>
              <w:rPr>
                <w:rFonts w:hint="eastAsia"/>
                <w:color w:val="auto"/>
                <w:u w:val="single"/>
                <w:lang w:val="en-US" w:eastAsia="zh-CN"/>
              </w:rPr>
              <w:t>提供《关于支持“一方科技”重整项目相关协议》，由公司对一方科技发展有限公司进行收购重组，承接一方科技事物（土地、房屋建筑、机器设备）和</w:t>
            </w:r>
            <w:r>
              <w:rPr>
                <w:rFonts w:hint="eastAsia"/>
                <w:color w:val="auto"/>
                <w:highlight w:val="none"/>
                <w:u w:val="single"/>
                <w:lang w:val="en-US" w:eastAsia="zh-CN"/>
              </w:rPr>
              <w:t>无形资产（技术、专利等）</w:t>
            </w:r>
          </w:p>
          <w:p>
            <w:pPr>
              <w:rPr>
                <w:color w:val="auto"/>
                <w:szCs w:val="21"/>
              </w:rPr>
            </w:pPr>
            <w:r>
              <w:rPr>
                <w:rFonts w:hint="eastAsia"/>
                <w:color w:val="auto"/>
                <w:szCs w:val="21"/>
              </w:rPr>
              <w:t>还存在哪些局限和不足：</w:t>
            </w:r>
            <w:r>
              <w:rPr>
                <w:rFonts w:hint="eastAsia"/>
                <w:color w:val="auto"/>
                <w:u w:val="single"/>
              </w:rPr>
              <w:t xml:space="preserve">  无                    </w:t>
            </w:r>
          </w:p>
          <w:p>
            <w:pPr>
              <w:rPr>
                <w:color w:val="auto"/>
                <w:szCs w:val="21"/>
              </w:rPr>
            </w:pPr>
          </w:p>
          <w:p>
            <w:pPr>
              <w:numPr>
                <w:ilvl w:val="0"/>
                <w:numId w:val="1"/>
              </w:numPr>
              <w:rPr>
                <w:color w:val="auto"/>
              </w:rPr>
            </w:pPr>
            <w:r>
              <w:rPr>
                <w:rFonts w:hint="eastAsia"/>
                <w:color w:val="auto"/>
                <w:szCs w:val="21"/>
              </w:rPr>
              <w:t>需要从外部供方获得的资源：</w:t>
            </w:r>
            <w:r>
              <w:rPr>
                <w:rFonts w:hint="eastAsia"/>
                <w:color w:val="auto"/>
              </w:rPr>
              <w:t xml:space="preserve"> </w:t>
            </w:r>
            <w:r>
              <w:rPr>
                <w:rFonts w:hint="eastAsia"/>
                <w:color w:val="auto"/>
                <w:u w:val="single"/>
              </w:rPr>
              <w:t xml:space="preserve">   产品（成品）运输                                         </w:t>
            </w:r>
            <w:r>
              <w:rPr>
                <w:rFonts w:hint="eastAsia"/>
                <w:color w:val="auto"/>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人员</w:t>
            </w:r>
          </w:p>
        </w:tc>
        <w:tc>
          <w:tcPr>
            <w:tcW w:w="960" w:type="dxa"/>
            <w:vMerge w:val="restart"/>
          </w:tcPr>
          <w:p>
            <w:r>
              <w:rPr>
                <w:rFonts w:hint="eastAsia"/>
                <w:color w:val="000000"/>
                <w:szCs w:val="21"/>
              </w:rPr>
              <w:t>Q7.1.2</w:t>
            </w:r>
          </w:p>
        </w:tc>
        <w:tc>
          <w:tcPr>
            <w:tcW w:w="745" w:type="dxa"/>
          </w:tcPr>
          <w:p>
            <w:r>
              <w:rPr>
                <w:rFonts w:hint="eastAsia"/>
              </w:rPr>
              <w:t>文件名称</w:t>
            </w:r>
          </w:p>
        </w:tc>
        <w:tc>
          <w:tcPr>
            <w:tcW w:w="9259" w:type="dxa"/>
          </w:tcPr>
          <w:p>
            <w:r>
              <w:rPr>
                <w:rFonts w:hint="eastAsia"/>
              </w:rPr>
              <w:t>如：手册第7.1条款、</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default" w:eastAsia="宋体"/>
                      <w:color w:val="000000"/>
                      <w:szCs w:val="21"/>
                      <w:lang w:val="en-US" w:eastAsia="zh-CN"/>
                    </w:rPr>
                  </w:pPr>
                  <w:r>
                    <w:rPr>
                      <w:rFonts w:hint="eastAsia"/>
                      <w:color w:val="000000"/>
                      <w:szCs w:val="21"/>
                      <w:lang w:val="en-US" w:eastAsia="zh-CN"/>
                    </w:rPr>
                    <w:t>7</w:t>
                  </w:r>
                </w:p>
              </w:tc>
              <w:tc>
                <w:tcPr>
                  <w:tcW w:w="1292" w:type="dxa"/>
                </w:tcPr>
                <w:p>
                  <w:pPr>
                    <w:rPr>
                      <w:rFonts w:hint="default" w:eastAsia="宋体"/>
                      <w:color w:val="000000"/>
                      <w:szCs w:val="21"/>
                      <w:lang w:val="en-US" w:eastAsia="zh-CN"/>
                    </w:rPr>
                  </w:pPr>
                  <w:r>
                    <w:rPr>
                      <w:rFonts w:hint="eastAsia"/>
                      <w:color w:val="000000"/>
                      <w:szCs w:val="21"/>
                      <w:lang w:val="en-US" w:eastAsia="zh-CN"/>
                    </w:rPr>
                    <w:t>59</w:t>
                  </w:r>
                </w:p>
              </w:tc>
              <w:tc>
                <w:tcPr>
                  <w:tcW w:w="1292" w:type="dxa"/>
                </w:tcPr>
                <w:p>
                  <w:pPr>
                    <w:rPr>
                      <w:color w:val="000000"/>
                      <w:szCs w:val="21"/>
                    </w:rPr>
                  </w:pP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0</w:t>
                  </w:r>
                </w:p>
              </w:tc>
              <w:tc>
                <w:tcPr>
                  <w:tcW w:w="1292" w:type="dxa"/>
                </w:tcPr>
                <w:p>
                  <w:pPr>
                    <w:rPr>
                      <w:color w:val="000000"/>
                      <w:szCs w:val="21"/>
                    </w:rPr>
                  </w:pPr>
                  <w:r>
                    <w:rPr>
                      <w:rFonts w:hint="eastAsia"/>
                      <w:color w:val="000000"/>
                      <w:szCs w:val="21"/>
                    </w:rPr>
                    <w:t>5</w:t>
                  </w:r>
                </w:p>
              </w:tc>
              <w:tc>
                <w:tcPr>
                  <w:tcW w:w="1292" w:type="dxa"/>
                </w:tcPr>
                <w:p>
                  <w:pPr>
                    <w:rPr>
                      <w:rFonts w:hint="default" w:eastAsia="宋体"/>
                      <w:color w:val="000000"/>
                      <w:szCs w:val="21"/>
                      <w:lang w:val="en-US" w:eastAsia="zh-CN"/>
                    </w:rPr>
                  </w:pPr>
                  <w:r>
                    <w:rPr>
                      <w:rFonts w:hint="eastAsia"/>
                      <w:color w:val="000000"/>
                      <w:szCs w:val="21"/>
                      <w:lang w:val="en-US" w:eastAsia="zh-CN"/>
                    </w:rPr>
                    <w:t>65</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 组织的知识</w:t>
            </w:r>
          </w:p>
        </w:tc>
        <w:tc>
          <w:tcPr>
            <w:tcW w:w="960" w:type="dxa"/>
            <w:vMerge w:val="restart"/>
          </w:tcPr>
          <w:p>
            <w:r>
              <w:rPr>
                <w:rFonts w:hint="eastAsia"/>
              </w:rPr>
              <w:t xml:space="preserve">Q7.1.6 </w:t>
            </w:r>
          </w:p>
        </w:tc>
        <w:tc>
          <w:tcPr>
            <w:tcW w:w="745" w:type="dxa"/>
          </w:tcPr>
          <w:p>
            <w:r>
              <w:rPr>
                <w:rFonts w:hint="eastAsia"/>
              </w:rPr>
              <w:t>文件名称</w:t>
            </w:r>
          </w:p>
        </w:tc>
        <w:tc>
          <w:tcPr>
            <w:tcW w:w="9259" w:type="dxa"/>
          </w:tcPr>
          <w:p>
            <w:r>
              <w:rPr>
                <w:rFonts w:hint="eastAsia"/>
              </w:rPr>
              <w:t>如：</w:t>
            </w:r>
            <w:r>
              <w:rPr>
                <w:rFonts w:hint="eastAsia"/>
              </w:rPr>
              <w:sym w:font="Wingdings" w:char="00A8"/>
            </w:r>
            <w:r>
              <w:rPr>
                <w:rFonts w:hint="eastAsia"/>
              </w:rPr>
              <w:t>《知识控制程序》、</w:t>
            </w:r>
            <w:r>
              <w:rPr>
                <w:rFonts w:hint="eastAsia"/>
              </w:rPr>
              <w:sym w:font="Wingdings" w:char="00FE"/>
            </w:r>
            <w:r>
              <w:rPr>
                <w:rFonts w:hint="eastAsia"/>
              </w:rPr>
              <w:t>手册第7.1.6条款</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组织应确定所需的知识控制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2480" w:type="dxa"/>
                </w:tcPr>
                <w:p>
                  <w:r>
                    <w:rPr>
                      <w:rFonts w:hint="eastAsia"/>
                    </w:rPr>
                    <w:t>具体内容</w:t>
                  </w:r>
                </w:p>
              </w:tc>
              <w:tc>
                <w:tcPr>
                  <w:tcW w:w="1809" w:type="dxa"/>
                </w:tcPr>
                <w:p>
                  <w:r>
                    <w:rPr>
                      <w:rFonts w:hint="eastAsia"/>
                    </w:rPr>
                    <w:t>收集部门</w:t>
                  </w:r>
                </w:p>
              </w:tc>
              <w:tc>
                <w:tcPr>
                  <w:tcW w:w="1809"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2480" w:type="dxa"/>
                </w:tcPr>
                <w:p>
                  <w:r>
                    <w:rPr>
                      <w:rFonts w:hint="eastAsia"/>
                    </w:rPr>
                    <w:t>知识产权；从经验获得的知识；从失败和成功项目吸取的经验和教训；获取和分享未成文件的知识和经验；以及过程、产品和服务的改进结果</w:t>
                  </w:r>
                </w:p>
              </w:tc>
              <w:tc>
                <w:tcPr>
                  <w:tcW w:w="1809" w:type="dxa"/>
                </w:tcPr>
                <w:p>
                  <w:pPr>
                    <w:rPr>
                      <w:rFonts w:hint="eastAsia" w:eastAsia="宋体"/>
                      <w:lang w:eastAsia="zh-CN"/>
                    </w:rPr>
                  </w:pPr>
                  <w:r>
                    <w:rPr>
                      <w:rFonts w:hint="eastAsia"/>
                      <w:lang w:eastAsia="zh-CN"/>
                    </w:rPr>
                    <w:t>行政部</w:t>
                  </w:r>
                </w:p>
                <w:p/>
                <w:p>
                  <w:pPr>
                    <w:rPr>
                      <w:rFonts w:hint="eastAsia" w:eastAsia="宋体"/>
                      <w:lang w:eastAsia="zh-CN"/>
                    </w:rPr>
                  </w:pPr>
                  <w:r>
                    <w:rPr>
                      <w:rFonts w:hint="eastAsia"/>
                      <w:lang w:eastAsia="zh-CN"/>
                    </w:rPr>
                    <w:t>生产部</w:t>
                  </w:r>
                </w:p>
              </w:tc>
              <w:tc>
                <w:tcPr>
                  <w:tcW w:w="1809"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FE"/>
                  </w:r>
                  <w:r>
                    <w:rPr>
                      <w:rFonts w:hint="eastAsia"/>
                    </w:rPr>
                    <w:t>微信群</w:t>
                  </w:r>
                </w:p>
              </w:tc>
              <w:tc>
                <w:tcPr>
                  <w:tcW w:w="1809" w:type="dxa"/>
                </w:tcPr>
                <w:p>
                  <w:r>
                    <w:rPr>
                      <w:rFonts w:hint="eastAsia"/>
                    </w:rPr>
                    <w:sym w:font="Wingdings" w:char="00FE"/>
                  </w:r>
                  <w:r>
                    <w:rPr>
                      <w:rFonts w:hint="eastAsia"/>
                    </w:rPr>
                    <w:t>不定期</w:t>
                  </w:r>
                </w:p>
                <w:p>
                  <w:r>
                    <w:rPr>
                      <w:rFonts w:hint="eastAsia"/>
                    </w:rPr>
                    <w:sym w:font="Wingdings" w:char="00A8"/>
                  </w:r>
                  <w:r>
                    <w:rPr>
                      <w:rFonts w:hint="eastAsia"/>
                    </w:rPr>
                    <w:t>每年</w:t>
                  </w:r>
                </w:p>
                <w:p>
                  <w:r>
                    <w:rPr>
                      <w:rFonts w:hint="eastAsia"/>
                    </w:rPr>
                    <w:sym w:font="Wingdings" w:char="00FE"/>
                  </w:r>
                  <w:r>
                    <w:rPr>
                      <w:rFonts w:hint="eastAsia"/>
                    </w:rPr>
                    <w:t>每季度</w:t>
                  </w:r>
                </w:p>
                <w:p>
                  <w:r>
                    <w:rPr>
                      <w:rFonts w:hint="eastAsia"/>
                    </w:rPr>
                    <w:sym w:font="Wingdings" w:char="00FE"/>
                  </w:r>
                  <w:r>
                    <w:rPr>
                      <w:rFonts w:hint="eastAsia"/>
                    </w:rPr>
                    <w:t>每月</w:t>
                  </w:r>
                </w:p>
                <w:p>
                  <w:r>
                    <w:rPr>
                      <w:rFonts w:hint="eastAsia"/>
                    </w:rPr>
                    <w:sym w:font="Wingdings" w:char="00FE"/>
                  </w:r>
                  <w:r>
                    <w:rPr>
                      <w:rFonts w:hint="eastAsia"/>
                    </w:rPr>
                    <w:t>每周例会</w:t>
                  </w:r>
                </w:p>
                <w:p>
                  <w:r>
                    <w:rPr>
                      <w:rFonts w:hint="eastAsia"/>
                    </w:rPr>
                    <w:sym w:font="Wingdings" w:char="00FE"/>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外部知识</w:t>
                  </w:r>
                </w:p>
              </w:tc>
              <w:tc>
                <w:tcPr>
                  <w:tcW w:w="2480" w:type="dxa"/>
                </w:tcPr>
                <w:p>
                  <w:r>
                    <w:rPr>
                      <w:rFonts w:hint="eastAsia"/>
                    </w:rPr>
                    <w:t>标准、学术交流、专业会议、从顾客或外部供方收集的知识</w:t>
                  </w:r>
                </w:p>
              </w:tc>
              <w:tc>
                <w:tcPr>
                  <w:tcW w:w="1809" w:type="dxa"/>
                </w:tcPr>
                <w:p>
                  <w:pPr>
                    <w:rPr>
                      <w:rFonts w:hint="eastAsia" w:eastAsia="宋体"/>
                      <w:lang w:eastAsia="zh-CN"/>
                    </w:rPr>
                  </w:pPr>
                  <w:r>
                    <w:rPr>
                      <w:rFonts w:hint="eastAsia"/>
                      <w:lang w:eastAsia="zh-CN"/>
                    </w:rPr>
                    <w:t>质检部</w:t>
                  </w:r>
                </w:p>
                <w:p/>
                <w:p>
                  <w:r>
                    <w:rPr>
                      <w:rFonts w:hint="eastAsia"/>
                    </w:rPr>
                    <w:t>研发部</w:t>
                  </w:r>
                </w:p>
              </w:tc>
              <w:tc>
                <w:tcPr>
                  <w:tcW w:w="1809"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A8"/>
                  </w:r>
                </w:p>
              </w:tc>
              <w:tc>
                <w:tcPr>
                  <w:tcW w:w="1809" w:type="dxa"/>
                </w:tcPr>
                <w:p>
                  <w:r>
                    <w:rPr>
                      <w:rFonts w:hint="eastAsia"/>
                    </w:rPr>
                    <w:sym w:font="Wingdings" w:char="00FE"/>
                  </w:r>
                  <w:r>
                    <w:rPr>
                      <w:rFonts w:hint="eastAsia"/>
                    </w:rPr>
                    <w:t>不定期</w:t>
                  </w:r>
                </w:p>
                <w:p>
                  <w:r>
                    <w:rPr>
                      <w:rFonts w:hint="eastAsia"/>
                    </w:rPr>
                    <w:sym w:font="Wingdings" w:char="00FE"/>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Q7.3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《人力资源控制程序》、</w:t>
            </w:r>
            <w:r>
              <w:rPr>
                <w:rFonts w:hint="eastAsia"/>
              </w:rPr>
              <w:sym w:font="Wingdings" w:char="00A8"/>
            </w:r>
            <w:r>
              <w:rPr>
                <w:rFonts w:hint="eastAsia"/>
              </w:rPr>
              <w:t>《能力和意识控制程序》</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组织工作人员提高质量意识的方式：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质量方针</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相关的质量目标</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对质量管理体系有效性的贡献，包括改进绩效的益处；</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不符合质量管理体系要求的后果</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监视、测量、分析和评价</w:t>
            </w:r>
          </w:p>
          <w:p/>
        </w:tc>
        <w:tc>
          <w:tcPr>
            <w:tcW w:w="960" w:type="dxa"/>
            <w:vMerge w:val="restart"/>
          </w:tcPr>
          <w:p>
            <w:r>
              <w:rPr>
                <w:rFonts w:hint="eastAsia"/>
              </w:rPr>
              <w:t>Q9.1.1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管理手册9.1.1章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组织对监视和测量的策划</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843"/>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监视和测量的对象</w:t>
                  </w:r>
                </w:p>
              </w:tc>
              <w:tc>
                <w:tcPr>
                  <w:tcW w:w="1843" w:type="dxa"/>
                </w:tcPr>
                <w:p>
                  <w:r>
                    <w:rPr>
                      <w:rFonts w:hint="eastAsia"/>
                    </w:rPr>
                    <w:t>监视、测量的方法</w:t>
                  </w:r>
                </w:p>
              </w:tc>
              <w:tc>
                <w:tcPr>
                  <w:tcW w:w="1986" w:type="dxa"/>
                </w:tcPr>
                <w:p>
                  <w:r>
                    <w:rPr>
                      <w:rFonts w:hint="eastAsia"/>
                    </w:rPr>
                    <w:t>监视和测量的频次和时机</w:t>
                  </w:r>
                </w:p>
              </w:tc>
              <w:tc>
                <w:tcPr>
                  <w:tcW w:w="1887" w:type="dxa"/>
                </w:tcPr>
                <w:p>
                  <w:r>
                    <w:rPr>
                      <w:rFonts w:hint="eastAsia"/>
                    </w:rPr>
                    <w:t>分析和评价的方法</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产品</w:t>
                  </w:r>
                </w:p>
              </w:tc>
              <w:tc>
                <w:tcPr>
                  <w:tcW w:w="1843" w:type="dxa"/>
                </w:tcPr>
                <w:p>
                  <w:r>
                    <w:rPr>
                      <w:rFonts w:hint="eastAsia"/>
                    </w:rPr>
                    <w:t>产品（原材料、半成品、成品）检验</w:t>
                  </w:r>
                </w:p>
              </w:tc>
              <w:tc>
                <w:tcPr>
                  <w:tcW w:w="1986" w:type="dxa"/>
                </w:tcPr>
                <w:p>
                  <w:r>
                    <w:rPr>
                      <w:rFonts w:hint="eastAsia"/>
                      <w:color w:val="000000"/>
                      <w:szCs w:val="21"/>
                    </w:rPr>
                    <w:t>□</w:t>
                  </w:r>
                  <w:r>
                    <w:rPr>
                      <w:rFonts w:hint="eastAsia"/>
                    </w:rPr>
                    <w:t>见检验计划/规程</w:t>
                  </w:r>
                  <w:r>
                    <w:rPr>
                      <w:rFonts w:hint="eastAsia"/>
                      <w:color w:val="000000"/>
                      <w:szCs w:val="21"/>
                    </w:rPr>
                    <w:t>☑每批</w:t>
                  </w:r>
                </w:p>
              </w:tc>
              <w:tc>
                <w:tcPr>
                  <w:tcW w:w="1887" w:type="dxa"/>
                </w:tcPr>
                <w:p>
                  <w:r>
                    <w:rPr>
                      <w:rFonts w:hint="eastAsia"/>
                    </w:rPr>
                    <w:t>对产品合格率进行统计，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过程</w:t>
                  </w:r>
                </w:p>
              </w:tc>
              <w:tc>
                <w:tcPr>
                  <w:tcW w:w="1843" w:type="dxa"/>
                </w:tcPr>
                <w:p>
                  <w:r>
                    <w:rPr>
                      <w:rFonts w:hint="eastAsia"/>
                    </w:rPr>
                    <w:t>现场巡视</w:t>
                  </w:r>
                </w:p>
                <w:p>
                  <w:r>
                    <w:rPr>
                      <w:rFonts w:hint="eastAsia"/>
                    </w:rPr>
                    <w:t>抽查记录</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tc>
              <w:tc>
                <w:tcPr>
                  <w:tcW w:w="1887" w:type="dxa"/>
                </w:tcPr>
                <w:p>
                  <w:r>
                    <w:rPr>
                      <w:rFonts w:hint="eastAsia"/>
                    </w:rPr>
                    <w:t>对质量目标/Cpk进行统计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3" w:type="dxa"/>
                </w:tcPr>
                <w:p>
                  <w:r>
                    <w:rPr>
                      <w:rFonts w:hint="eastAsia"/>
                    </w:rPr>
                    <w:t>体系</w:t>
                  </w:r>
                </w:p>
              </w:tc>
              <w:tc>
                <w:tcPr>
                  <w:tcW w:w="1843" w:type="dxa"/>
                </w:tcPr>
                <w:p>
                  <w:r>
                    <w:rPr>
                      <w:rFonts w:hint="eastAsia"/>
                    </w:rPr>
                    <w:t>内部审核</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对内审不符合项进行分析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体系有效性</w:t>
                  </w:r>
                </w:p>
              </w:tc>
              <w:tc>
                <w:tcPr>
                  <w:tcW w:w="1843" w:type="dxa"/>
                </w:tcPr>
                <w:p>
                  <w:r>
                    <w:rPr>
                      <w:rFonts w:hint="eastAsia"/>
                    </w:rPr>
                    <w:t>管理评审</w:t>
                  </w:r>
                </w:p>
              </w:tc>
              <w:tc>
                <w:tcPr>
                  <w:tcW w:w="1986" w:type="dxa"/>
                </w:tcPr>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对QMS存在的需要问题进行分析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3" w:type="dxa"/>
                </w:tcPr>
                <w:p>
                  <w:r>
                    <w:rPr>
                      <w:rFonts w:hint="eastAsia"/>
                    </w:rPr>
                    <w:t>顾客满意</w:t>
                  </w:r>
                </w:p>
              </w:tc>
              <w:tc>
                <w:tcPr>
                  <w:tcW w:w="1843" w:type="dxa"/>
                </w:tcPr>
                <w:p>
                  <w:r>
                    <w:rPr>
                      <w:rFonts w:hint="eastAsia"/>
                    </w:rPr>
                    <w:t>问卷调查</w:t>
                  </w:r>
                </w:p>
              </w:tc>
              <w:tc>
                <w:tcPr>
                  <w:tcW w:w="1986" w:type="dxa"/>
                </w:tcPr>
                <w:p>
                  <w:r>
                    <w:rPr>
                      <w:rFonts w:hint="eastAsia"/>
                      <w:color w:val="000000"/>
                      <w:szCs w:val="21"/>
                    </w:rPr>
                    <w:t>☑</w:t>
                  </w:r>
                  <w:r>
                    <w:rPr>
                      <w:rFonts w:hint="eastAsia"/>
                    </w:rPr>
                    <w:t>每年一次</w:t>
                  </w:r>
                </w:p>
                <w:p>
                  <w:r>
                    <w:rPr>
                      <w:rFonts w:hint="eastAsia"/>
                      <w:color w:val="000000"/>
                      <w:szCs w:val="21"/>
                    </w:rPr>
                    <w:t>□</w:t>
                  </w:r>
                </w:p>
              </w:tc>
              <w:tc>
                <w:tcPr>
                  <w:tcW w:w="1887" w:type="dxa"/>
                </w:tcPr>
                <w:p>
                  <w:r>
                    <w:rPr>
                      <w:rFonts w:hint="eastAsia"/>
                    </w:rPr>
                    <w:t>对顾客满意率进行统计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分析与评价</w:t>
            </w:r>
          </w:p>
        </w:tc>
        <w:tc>
          <w:tcPr>
            <w:tcW w:w="960" w:type="dxa"/>
            <w:vMerge w:val="restart"/>
          </w:tcPr>
          <w:p>
            <w:r>
              <w:rPr>
                <w:rFonts w:hint="eastAsia"/>
              </w:rPr>
              <w:t>Q9.1.3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管理手册10.3章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对获得的数据和信息进行分析与评价</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651"/>
              <w:gridCol w:w="1811"/>
              <w:gridCol w:w="1342"/>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分析和评价的对象</w:t>
                  </w:r>
                </w:p>
              </w:tc>
              <w:tc>
                <w:tcPr>
                  <w:tcW w:w="2651" w:type="dxa"/>
                </w:tcPr>
                <w:p>
                  <w:r>
                    <w:rPr>
                      <w:rFonts w:hint="eastAsia"/>
                    </w:rPr>
                    <w:t>分析和评价的方法</w:t>
                  </w:r>
                </w:p>
              </w:tc>
              <w:tc>
                <w:tcPr>
                  <w:tcW w:w="1811" w:type="dxa"/>
                </w:tcPr>
                <w:p>
                  <w:r>
                    <w:rPr>
                      <w:rFonts w:hint="eastAsia"/>
                    </w:rPr>
                    <w:t>分析和评价的频次和时机</w:t>
                  </w:r>
                </w:p>
              </w:tc>
              <w:tc>
                <w:tcPr>
                  <w:tcW w:w="1342" w:type="dxa"/>
                </w:tcPr>
                <w:p>
                  <w:r>
                    <w:rPr>
                      <w:rFonts w:hint="eastAsia"/>
                    </w:rPr>
                    <w:t>使用的统计技术</w:t>
                  </w:r>
                </w:p>
              </w:tc>
              <w:tc>
                <w:tcPr>
                  <w:tcW w:w="1314" w:type="dxa"/>
                </w:tcPr>
                <w:p>
                  <w:r>
                    <w:rPr>
                      <w:rFonts w:hint="eastAsia"/>
                    </w:rPr>
                    <w:t>分析的结果用于改进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产品和服务的符合性</w:t>
                  </w:r>
                </w:p>
              </w:tc>
              <w:tc>
                <w:tcPr>
                  <w:tcW w:w="2651" w:type="dxa"/>
                  <w:shd w:val="clear" w:color="auto" w:fill="auto"/>
                </w:tcPr>
                <w:p>
                  <w:r>
                    <w:rPr>
                      <w:rFonts w:hint="eastAsia"/>
                    </w:rPr>
                    <w:t>对产品合格率进行统计分析，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顾客满意程度</w:t>
                  </w:r>
                </w:p>
              </w:tc>
              <w:tc>
                <w:tcPr>
                  <w:tcW w:w="2651" w:type="dxa"/>
                  <w:shd w:val="clear" w:color="auto" w:fill="auto"/>
                </w:tcPr>
                <w:p>
                  <w:r>
                    <w:rPr>
                      <w:rFonts w:hint="eastAsia"/>
                    </w:rPr>
                    <w:t>对顾客满意率进行统计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质量管理体系的绩效和有效性</w:t>
                  </w:r>
                </w:p>
              </w:tc>
              <w:tc>
                <w:tcPr>
                  <w:tcW w:w="2651" w:type="dxa"/>
                  <w:shd w:val="clear" w:color="auto" w:fill="auto"/>
                </w:tcPr>
                <w:p>
                  <w:r>
                    <w:rPr>
                      <w:rFonts w:hint="eastAsia"/>
                    </w:rPr>
                    <w:t>对内审不符合项进行分析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策划是否得到有效实施</w:t>
                  </w:r>
                </w:p>
              </w:tc>
              <w:tc>
                <w:tcPr>
                  <w:tcW w:w="2651" w:type="dxa"/>
                  <w:shd w:val="clear" w:color="auto" w:fill="auto"/>
                </w:tcPr>
                <w:p>
                  <w:r>
                    <w:rPr>
                      <w:rFonts w:hint="eastAsia"/>
                    </w:rPr>
                    <w:t>对质量目标完成/Cpk进行统计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针对风险和机遇所采取措施的有效性</w:t>
                  </w:r>
                </w:p>
              </w:tc>
              <w:tc>
                <w:tcPr>
                  <w:tcW w:w="2651" w:type="dxa"/>
                  <w:shd w:val="clear" w:color="auto" w:fill="auto"/>
                </w:tcPr>
                <w:p>
                  <w:r>
                    <w:rPr>
                      <w:rFonts w:hint="eastAsia"/>
                    </w:rPr>
                    <w:t>对质量目标完成进行统计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外部供方的绩效</w:t>
                  </w:r>
                </w:p>
              </w:tc>
              <w:tc>
                <w:tcPr>
                  <w:tcW w:w="2651" w:type="dxa"/>
                  <w:shd w:val="clear" w:color="auto" w:fill="auto"/>
                </w:tcPr>
                <w:p>
                  <w:r>
                    <w:rPr>
                      <w:rFonts w:hint="eastAsia"/>
                    </w:rPr>
                    <w:t>对外部供方的供货质量和服务质量进行统计分析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质量管理体系改进的需求</w:t>
                  </w:r>
                </w:p>
              </w:tc>
              <w:tc>
                <w:tcPr>
                  <w:tcW w:w="2651" w:type="dxa"/>
                  <w:shd w:val="clear" w:color="auto" w:fill="auto"/>
                </w:tcPr>
                <w:p>
                  <w:r>
                    <w:rPr>
                      <w:rFonts w:hint="eastAsia"/>
                    </w:rPr>
                    <w:t>对QMS存在的需要问题进行分析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vAlign w:val="top"/>
          </w:tcPr>
          <w:p>
            <w:pPr>
              <w:rPr>
                <w:rFonts w:hint="eastAsia"/>
              </w:rPr>
            </w:pPr>
            <w:r>
              <w:rPr>
                <w:rFonts w:hint="eastAsia"/>
              </w:rPr>
              <w:t>管理评审</w:t>
            </w:r>
          </w:p>
        </w:tc>
        <w:tc>
          <w:tcPr>
            <w:tcW w:w="960" w:type="dxa"/>
            <w:vMerge w:val="restart"/>
            <w:vAlign w:val="top"/>
          </w:tcPr>
          <w:p>
            <w:pPr>
              <w:rPr>
                <w:rFonts w:hint="eastAsia"/>
              </w:rPr>
            </w:pPr>
            <w:r>
              <w:rPr>
                <w:rFonts w:hint="eastAsia"/>
              </w:rPr>
              <w:t>Q9.3</w:t>
            </w:r>
          </w:p>
        </w:tc>
        <w:tc>
          <w:tcPr>
            <w:tcW w:w="745" w:type="dxa"/>
            <w:vAlign w:val="top"/>
          </w:tcPr>
          <w:p>
            <w:pPr>
              <w:rPr>
                <w:rFonts w:hint="eastAsia"/>
              </w:rPr>
            </w:pPr>
            <w:r>
              <w:rPr>
                <w:rFonts w:hint="eastAsia"/>
              </w:rPr>
              <w:t>文件名称</w:t>
            </w:r>
          </w:p>
        </w:tc>
        <w:tc>
          <w:tcPr>
            <w:tcW w:w="9259" w:type="dxa"/>
            <w:vAlign w:val="top"/>
          </w:tcPr>
          <w:p>
            <w:pPr>
              <w:rPr>
                <w:rFonts w:hint="eastAsia"/>
              </w:rPr>
            </w:pPr>
            <w:r>
              <w:rPr>
                <w:rFonts w:hint="eastAsia"/>
              </w:rPr>
              <w:t>如：</w:t>
            </w:r>
            <w:r>
              <w:rPr>
                <w:rFonts w:hint="eastAsia"/>
              </w:rPr>
              <w:sym w:font="Wingdings" w:char="00FE"/>
            </w:r>
            <w:r>
              <w:rPr>
                <w:rFonts w:hint="eastAsia"/>
              </w:rPr>
              <w:t>《管理评审控制程序》</w:t>
            </w:r>
            <w:r>
              <w:rPr>
                <w:rFonts w:hint="eastAsia"/>
              </w:rPr>
              <w:sym w:font="Wingdings" w:char="00FE"/>
            </w:r>
            <w:r>
              <w:rPr>
                <w:rFonts w:hint="eastAsia"/>
              </w:rPr>
              <w:t>手册第9.3条款</w:t>
            </w:r>
          </w:p>
        </w:tc>
        <w:tc>
          <w:tcPr>
            <w:tcW w:w="1585" w:type="dxa"/>
            <w:vMerge w:val="restart"/>
            <w:vAlign w:val="top"/>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color w:val="auto"/>
                <w:highlight w:val="none"/>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continue"/>
            <w:vAlign w:val="top"/>
          </w:tcPr>
          <w:p>
            <w:pPr>
              <w:rPr>
                <w:rFonts w:hint="eastAsia"/>
              </w:rPr>
            </w:pPr>
          </w:p>
        </w:tc>
        <w:tc>
          <w:tcPr>
            <w:tcW w:w="960" w:type="dxa"/>
            <w:vMerge w:val="continue"/>
            <w:vAlign w:val="top"/>
          </w:tcPr>
          <w:p>
            <w:pPr>
              <w:rPr>
                <w:rFonts w:hint="eastAsia"/>
              </w:rPr>
            </w:pPr>
          </w:p>
        </w:tc>
        <w:tc>
          <w:tcPr>
            <w:tcW w:w="745" w:type="dxa"/>
            <w:vAlign w:val="top"/>
          </w:tcPr>
          <w:p>
            <w:pPr>
              <w:widowControl/>
              <w:spacing w:before="40"/>
              <w:jc w:val="left"/>
              <w:rPr>
                <w:color w:val="000000"/>
                <w:szCs w:val="18"/>
              </w:rPr>
            </w:pPr>
          </w:p>
          <w:p>
            <w:pPr>
              <w:rPr>
                <w:rFonts w:hint="eastAsia"/>
              </w:rPr>
            </w:pPr>
            <w:r>
              <w:rPr>
                <w:rFonts w:hint="eastAsia"/>
              </w:rPr>
              <w:t>运行证据</w:t>
            </w:r>
          </w:p>
        </w:tc>
        <w:tc>
          <w:tcPr>
            <w:tcW w:w="9259" w:type="dxa"/>
            <w:vAlign w:val="top"/>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bookmarkStart w:id="0" w:name="_GoBack"/>
            <w:r>
              <w:rPr>
                <w:rFonts w:hint="eastAsia"/>
                <w:color w:val="000000"/>
                <w:szCs w:val="18"/>
                <w:u w:val="single"/>
              </w:rPr>
              <w:t>20</w:t>
            </w:r>
            <w:r>
              <w:rPr>
                <w:rFonts w:hint="eastAsia"/>
                <w:color w:val="000000"/>
                <w:szCs w:val="18"/>
                <w:u w:val="single"/>
                <w:lang w:val="en-US" w:eastAsia="zh-CN"/>
              </w:rPr>
              <w:t>21</w:t>
            </w:r>
            <w:r>
              <w:rPr>
                <w:rFonts w:hint="eastAsia"/>
                <w:color w:val="000000"/>
                <w:szCs w:val="18"/>
                <w:u w:val="single"/>
              </w:rPr>
              <w:t>.</w:t>
            </w:r>
            <w:r>
              <w:rPr>
                <w:rFonts w:hint="eastAsia"/>
                <w:color w:val="000000"/>
                <w:szCs w:val="18"/>
                <w:u w:val="single"/>
                <w:lang w:val="en-US" w:eastAsia="zh-CN"/>
              </w:rPr>
              <w:t>1</w:t>
            </w:r>
            <w:r>
              <w:rPr>
                <w:rFonts w:hint="eastAsia"/>
                <w:color w:val="000000"/>
                <w:szCs w:val="18"/>
                <w:u w:val="single"/>
              </w:rPr>
              <w:t>.</w:t>
            </w:r>
            <w:r>
              <w:rPr>
                <w:rFonts w:hint="eastAsia"/>
                <w:color w:val="000000"/>
                <w:szCs w:val="18"/>
                <w:u w:val="single"/>
                <w:lang w:val="en-US" w:eastAsia="zh-CN"/>
              </w:rPr>
              <w:t>20</w:t>
            </w:r>
            <w:bookmarkEnd w:id="0"/>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列举描述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以往管理评审所采取措施的情况；</w:t>
                  </w:r>
                </w:p>
              </w:tc>
              <w:tc>
                <w:tcPr>
                  <w:tcW w:w="1990" w:type="dxa"/>
                </w:tcPr>
                <w:p>
                  <w:pPr>
                    <w:widowControl/>
                    <w:spacing w:before="40"/>
                    <w:jc w:val="left"/>
                    <w:rPr>
                      <w:color w:val="000000"/>
                      <w:szCs w:val="21"/>
                    </w:rPr>
                  </w:pPr>
                  <w:r>
                    <w:rPr>
                      <w:rFonts w:hint="eastAsia"/>
                      <w:color w:val="000000"/>
                      <w:szCs w:val="21"/>
                    </w:rPr>
                    <w:t>☑符合 □不符合</w:t>
                  </w:r>
                </w:p>
              </w:tc>
              <w:tc>
                <w:tcPr>
                  <w:tcW w:w="281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color w:val="000000"/>
                      <w:szCs w:val="21"/>
                      <w:highlight w:val="none"/>
                      <w:vertAlign w:val="baseline"/>
                      <w:lang w:val="en-US" w:eastAsia="zh-CN"/>
                    </w:rPr>
                    <w:t>增加宣传标语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与质量管理体系相关的内外部因素的变化；</w:t>
                  </w:r>
                </w:p>
              </w:tc>
              <w:tc>
                <w:tcPr>
                  <w:tcW w:w="1990" w:type="dxa"/>
                </w:tcPr>
                <w:p>
                  <w:pPr>
                    <w:widowControl/>
                    <w:spacing w:before="40"/>
                    <w:jc w:val="left"/>
                    <w:rPr>
                      <w:color w:val="000000"/>
                      <w:szCs w:val="21"/>
                    </w:rPr>
                  </w:pPr>
                  <w:r>
                    <w:rPr>
                      <w:rFonts w:hint="eastAsia"/>
                      <w:color w:val="000000"/>
                      <w:szCs w:val="21"/>
                    </w:rPr>
                    <w:t>☑符合 □不符合</w:t>
                  </w:r>
                </w:p>
              </w:tc>
              <w:tc>
                <w:tcPr>
                  <w:tcW w:w="281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有人员增加、设施改进变化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7" w:type="dxa"/>
                </w:tcPr>
                <w:p>
                  <w:pPr>
                    <w:widowControl/>
                    <w:spacing w:before="40"/>
                    <w:jc w:val="left"/>
                    <w:rPr>
                      <w:color w:val="000000"/>
                      <w:szCs w:val="21"/>
                    </w:rPr>
                  </w:pPr>
                  <w:r>
                    <w:rPr>
                      <w:rFonts w:hint="eastAsia"/>
                    </w:rPr>
                    <w:t>顾客满意和有关相关方的反馈及趋势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主管部门</w:t>
                  </w:r>
                  <w:r>
                    <w:rPr>
                      <w:rFonts w:hint="default"/>
                      <w:color w:val="000000"/>
                      <w:szCs w:val="21"/>
                      <w:highlight w:val="none"/>
                      <w:vertAlign w:val="baseline"/>
                      <w:lang w:val="en-US" w:eastAsia="zh-CN"/>
                    </w:rPr>
                    <w:t>日趋严峻的</w:t>
                  </w:r>
                  <w:r>
                    <w:rPr>
                      <w:rFonts w:hint="eastAsia"/>
                      <w:color w:val="000000"/>
                      <w:szCs w:val="21"/>
                      <w:highlight w:val="none"/>
                      <w:vertAlign w:val="baseline"/>
                      <w:lang w:val="en-US" w:eastAsia="zh-CN"/>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质量目标的实现程度及趋势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vAlign w:val="top"/>
                </w:tcPr>
                <w:p>
                  <w:pPr>
                    <w:widowControl/>
                    <w:spacing w:before="40"/>
                    <w:jc w:val="left"/>
                    <w:rPr>
                      <w:rFonts w:hint="default" w:ascii="Times New Roman" w:hAnsi="Times New Roman" w:eastAsia="宋体" w:cs="Times New Roman"/>
                      <w:color w:val="000000"/>
                      <w:kern w:val="2"/>
                      <w:sz w:val="21"/>
                      <w:szCs w:val="21"/>
                      <w:highlight w:val="cyan"/>
                      <w:vertAlign w:val="baseline"/>
                      <w:lang w:val="en-US" w:eastAsia="zh-CN" w:bidi="ar-SA"/>
                    </w:rPr>
                  </w:pPr>
                  <w:r>
                    <w:rPr>
                      <w:rFonts w:hint="eastAsia"/>
                      <w:color w:val="000000"/>
                      <w:szCs w:val="21"/>
                      <w:highlight w:val="none"/>
                      <w:vertAlign w:val="baseline"/>
                      <w:lang w:val="en-US" w:eastAsia="zh-CN"/>
                    </w:rPr>
                    <w:t>总质量目标已完成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过程绩效以及产品和服务的合格情况及趋势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7" w:type="dxa"/>
                </w:tcPr>
                <w:p>
                  <w:pPr>
                    <w:widowControl/>
                    <w:spacing w:before="40"/>
                    <w:jc w:val="left"/>
                    <w:rPr>
                      <w:color w:val="000000"/>
                      <w:szCs w:val="21"/>
                    </w:rPr>
                  </w:pPr>
                  <w:r>
                    <w:rPr>
                      <w:rFonts w:hint="eastAsia"/>
                    </w:rPr>
                    <w:t>不合格及纠正措施及趋势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进行了分析，无明显变化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监视和测量结果及趋势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vAlign w:val="top"/>
                </w:tcPr>
                <w:p>
                  <w:pPr>
                    <w:widowControl/>
                    <w:spacing w:before="40"/>
                    <w:jc w:val="left"/>
                    <w:rPr>
                      <w:rFonts w:hint="default" w:ascii="Times New Roman" w:hAnsi="Times New Roman" w:eastAsia="宋体" w:cs="Times New Roman"/>
                      <w:color w:val="000000"/>
                      <w:kern w:val="2"/>
                      <w:sz w:val="21"/>
                      <w:szCs w:val="21"/>
                      <w:highlight w:val="cyan"/>
                      <w:vertAlign w:val="baseline"/>
                      <w:lang w:val="en-US" w:eastAsia="zh-CN" w:bidi="ar-SA"/>
                    </w:rPr>
                  </w:pPr>
                  <w:r>
                    <w:rPr>
                      <w:rFonts w:hint="eastAsia"/>
                      <w:color w:val="000000"/>
                      <w:szCs w:val="21"/>
                      <w:highlight w:val="none"/>
                      <w:vertAlign w:val="baseline"/>
                      <w:lang w:val="en-US" w:eastAsia="zh-CN"/>
                    </w:rPr>
                    <w:t>2020年产品检验合格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37" w:type="dxa"/>
                </w:tcPr>
                <w:p>
                  <w:pPr>
                    <w:widowControl/>
                    <w:spacing w:before="40"/>
                    <w:jc w:val="left"/>
                    <w:rPr>
                      <w:color w:val="000000"/>
                      <w:szCs w:val="21"/>
                    </w:rPr>
                  </w:pPr>
                  <w:r>
                    <w:rPr>
                      <w:rFonts w:hint="eastAsia"/>
                    </w:rPr>
                    <w:t>内审、外部审核结果及趋势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2020年无处罚、内审无不符合项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外部供方的绩效及趋势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vAlign w:val="top"/>
                </w:tcPr>
                <w:p>
                  <w:pPr>
                    <w:widowControl/>
                    <w:spacing w:before="40"/>
                    <w:jc w:val="left"/>
                    <w:rPr>
                      <w:rFonts w:hint="default" w:ascii="Times New Roman" w:hAnsi="Times New Roman" w:eastAsia="宋体" w:cs="Times New Roman"/>
                      <w:color w:val="000000"/>
                      <w:kern w:val="2"/>
                      <w:sz w:val="21"/>
                      <w:szCs w:val="21"/>
                      <w:highlight w:val="cyan"/>
                      <w:vertAlign w:val="baseline"/>
                      <w:lang w:val="en-US" w:eastAsia="zh-CN" w:bidi="ar-SA"/>
                    </w:rPr>
                  </w:pPr>
                  <w:r>
                    <w:rPr>
                      <w:rFonts w:hint="eastAsia"/>
                      <w:color w:val="000000"/>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资源的充分性；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应对风险和机遇所采取措施的有效性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olor w:val="000000"/>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990" w:type="dxa"/>
                </w:tcPr>
                <w:p>
                  <w:pPr>
                    <w:widowControl/>
                    <w:spacing w:before="40"/>
                    <w:jc w:val="left"/>
                    <w:rPr>
                      <w:color w:val="000000"/>
                      <w:szCs w:val="21"/>
                    </w:rPr>
                  </w:pPr>
                  <w:r>
                    <w:rPr>
                      <w:rFonts w:hint="eastAsia"/>
                      <w:color w:val="000000"/>
                      <w:szCs w:val="21"/>
                    </w:rPr>
                    <w:t>☑符合 □不符合</w:t>
                  </w:r>
                </w:p>
              </w:tc>
              <w:tc>
                <w:tcPr>
                  <w:tcW w:w="2816" w:type="dxa"/>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2"/>
                      <w:sz w:val="21"/>
                      <w:szCs w:val="21"/>
                      <w:highlight w:val="none"/>
                      <w:vertAlign w:val="baseline"/>
                      <w:lang w:val="en-US" w:eastAsia="zh-CN" w:bidi="ar-SA"/>
                    </w:rPr>
                    <w:t>提高生产自动化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before="40"/>
                    <w:jc w:val="left"/>
                  </w:pPr>
                </w:p>
              </w:tc>
              <w:tc>
                <w:tcPr>
                  <w:tcW w:w="0" w:type="auto"/>
                </w:tcPr>
                <w:p>
                  <w:pPr>
                    <w:widowControl/>
                    <w:spacing w:before="40"/>
                    <w:jc w:val="left"/>
                    <w:rPr>
                      <w:color w:val="000000"/>
                      <w:szCs w:val="21"/>
                    </w:rPr>
                  </w:pP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vertAlign w:val="baseline"/>
                      <w:lang w:val="en-US" w:eastAsia="zh-CN" w:bidi="ar-SA"/>
                    </w:rPr>
                  </w:pPr>
                </w:p>
              </w:tc>
            </w:tr>
          </w:tbl>
          <w:p>
            <w:pPr>
              <w:widowControl/>
              <w:spacing w:before="40"/>
              <w:jc w:val="left"/>
              <w:rPr>
                <w:rFonts w:hint="eastAsia"/>
                <w:color w:val="000000"/>
                <w:szCs w:val="21"/>
                <w:highlight w:val="cya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themeColor="text1"/>
                      <w:szCs w:val="21"/>
                    </w:rPr>
                  </w:pPr>
                  <w:r>
                    <w:rPr>
                      <w:rFonts w:hint="eastAsia"/>
                      <w:color w:val="000000" w:themeColor="text1"/>
                      <w:szCs w:val="18"/>
                    </w:rPr>
                    <w:t>管理评审输出信息</w:t>
                  </w:r>
                </w:p>
              </w:tc>
              <w:tc>
                <w:tcPr>
                  <w:tcW w:w="4620" w:type="dxa"/>
                </w:tcPr>
                <w:p>
                  <w:pPr>
                    <w:widowControl/>
                    <w:spacing w:before="40"/>
                    <w:jc w:val="left"/>
                    <w:rPr>
                      <w:color w:val="000000" w:themeColor="text1"/>
                      <w:szCs w:val="21"/>
                    </w:rPr>
                  </w:pPr>
                  <w:r>
                    <w:rPr>
                      <w:rFonts w:hint="eastAsia"/>
                      <w:color w:val="000000" w:themeColor="text1"/>
                      <w:szCs w:val="21"/>
                    </w:rPr>
                    <w:t>措施描述（</w:t>
                  </w:r>
                  <w:r>
                    <w:rPr>
                      <w:rFonts w:hint="eastAsia"/>
                      <w:b/>
                      <w:bCs/>
                      <w:color w:val="000000" w:themeColor="text1"/>
                      <w:szCs w:val="21"/>
                    </w:rPr>
                    <w:t>举例</w:t>
                  </w:r>
                  <w:r>
                    <w:rPr>
                      <w:rFonts w:hint="eastAsia"/>
                      <w:color w:val="000000" w:themeColor="text1"/>
                      <w:szCs w:val="21"/>
                    </w:rPr>
                    <w:t>）</w:t>
                  </w:r>
                </w:p>
              </w:tc>
              <w:tc>
                <w:tcPr>
                  <w:tcW w:w="2496" w:type="dxa"/>
                </w:tcPr>
                <w:p>
                  <w:pPr>
                    <w:widowControl/>
                    <w:spacing w:before="40"/>
                    <w:jc w:val="left"/>
                    <w:rPr>
                      <w:color w:val="000000" w:themeColor="text1"/>
                      <w:szCs w:val="21"/>
                    </w:rPr>
                  </w:pPr>
                  <w:r>
                    <w:rPr>
                      <w:rFonts w:hint="eastAsia"/>
                      <w:color w:val="000000" w:themeColor="text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themeColor="text1"/>
                      <w:szCs w:val="21"/>
                    </w:rPr>
                  </w:pPr>
                  <w:r>
                    <w:rPr>
                      <w:rFonts w:hint="eastAsia"/>
                      <w:color w:val="000000" w:themeColor="text1"/>
                    </w:rPr>
                    <w:t>改进的机会</w:t>
                  </w:r>
                </w:p>
              </w:tc>
              <w:tc>
                <w:tcPr>
                  <w:tcW w:w="4620" w:type="dxa"/>
                </w:tcPr>
                <w:p>
                  <w:pPr>
                    <w:widowControl/>
                    <w:spacing w:before="40"/>
                    <w:jc w:val="left"/>
                    <w:rPr>
                      <w:rFonts w:hint="default" w:eastAsia="宋体"/>
                      <w:color w:val="000000" w:themeColor="text1"/>
                      <w:szCs w:val="21"/>
                      <w:lang w:val="en-US" w:eastAsia="zh-CN"/>
                    </w:rPr>
                  </w:pPr>
                  <w:r>
                    <w:rPr>
                      <w:rFonts w:hint="eastAsia" w:ascii="宋体"/>
                      <w:sz w:val="24"/>
                    </w:rPr>
                    <w:t>加强安全生产管理，</w:t>
                  </w:r>
                  <w:r>
                    <w:rPr>
                      <w:rFonts w:hint="eastAsia" w:ascii="宋体" w:hAnsi="宋体"/>
                      <w:sz w:val="24"/>
                    </w:rPr>
                    <w:t>建立健全职工保障，满足国家法律法规要求</w:t>
                  </w:r>
                </w:p>
              </w:tc>
              <w:tc>
                <w:tcPr>
                  <w:tcW w:w="2496"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已落实</w:t>
                  </w:r>
                  <w:r>
                    <w:rPr>
                      <w:rFonts w:hint="eastAsia"/>
                      <w:color w:val="000000" w:themeColor="text1"/>
                      <w:szCs w:val="21"/>
                    </w:rPr>
                    <w:t xml:space="preserve"> </w:t>
                  </w:r>
                  <w:r>
                    <w:rPr>
                      <w:rFonts w:hint="eastAsia"/>
                      <w:color w:val="000000" w:themeColor="text1"/>
                      <w:szCs w:val="21"/>
                    </w:rPr>
                    <w:sym w:font="Wingdings 2" w:char="0052"/>
                  </w:r>
                  <w:r>
                    <w:rPr>
                      <w:rFonts w:hint="eastAsia"/>
                      <w:color w:val="000000" w:themeColor="text1"/>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themeColor="text1"/>
                      <w:szCs w:val="21"/>
                    </w:rPr>
                  </w:pPr>
                  <w:r>
                    <w:rPr>
                      <w:rFonts w:hint="eastAsia"/>
                      <w:color w:val="000000" w:themeColor="text1"/>
                    </w:rPr>
                    <w:t>质量管理体系所需的变更</w:t>
                  </w:r>
                </w:p>
              </w:tc>
              <w:tc>
                <w:tcPr>
                  <w:tcW w:w="4620" w:type="dxa"/>
                </w:tcPr>
                <w:p>
                  <w:pPr>
                    <w:widowControl/>
                    <w:spacing w:before="40"/>
                    <w:jc w:val="left"/>
                    <w:rPr>
                      <w:color w:val="000000" w:themeColor="text1"/>
                      <w:szCs w:val="21"/>
                    </w:rPr>
                  </w:pPr>
                  <w:r>
                    <w:rPr>
                      <w:rFonts w:hint="eastAsia"/>
                      <w:color w:val="000000" w:themeColor="text1"/>
                      <w:szCs w:val="21"/>
                      <w:lang w:val="en-US" w:eastAsia="zh-CN"/>
                    </w:rPr>
                    <w:t>加强管理体系的宣传</w:t>
                  </w:r>
                </w:p>
              </w:tc>
              <w:tc>
                <w:tcPr>
                  <w:tcW w:w="2496"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已落实</w:t>
                  </w:r>
                  <w:r>
                    <w:rPr>
                      <w:rFonts w:hint="eastAsia"/>
                      <w:color w:val="000000" w:themeColor="text1"/>
                      <w:szCs w:val="21"/>
                    </w:rPr>
                    <w:t xml:space="preserve"> </w:t>
                  </w:r>
                  <w:r>
                    <w:rPr>
                      <w:rFonts w:hint="eastAsia"/>
                      <w:color w:val="000000" w:themeColor="text1"/>
                      <w:szCs w:val="21"/>
                      <w:lang w:eastAsia="zh-CN"/>
                    </w:rPr>
                    <w:t>☑</w:t>
                  </w:r>
                  <w:r>
                    <w:rPr>
                      <w:rFonts w:hint="eastAsia"/>
                      <w:color w:val="000000" w:themeColor="text1"/>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themeColor="text1"/>
                      <w:szCs w:val="21"/>
                    </w:rPr>
                  </w:pPr>
                  <w:r>
                    <w:rPr>
                      <w:rFonts w:hint="eastAsia"/>
                      <w:color w:val="000000" w:themeColor="text1"/>
                    </w:rPr>
                    <w:t>资源需求</w:t>
                  </w:r>
                </w:p>
              </w:tc>
              <w:tc>
                <w:tcPr>
                  <w:tcW w:w="4620" w:type="dxa"/>
                </w:tcPr>
                <w:p>
                  <w:pPr>
                    <w:widowControl/>
                    <w:spacing w:before="40"/>
                    <w:jc w:val="left"/>
                    <w:rPr>
                      <w:color w:val="000000" w:themeColor="text1"/>
                      <w:szCs w:val="21"/>
                    </w:rPr>
                  </w:pPr>
                </w:p>
              </w:tc>
              <w:tc>
                <w:tcPr>
                  <w:tcW w:w="2496"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已落实</w:t>
                  </w:r>
                  <w:r>
                    <w:rPr>
                      <w:rFonts w:hint="eastAsia"/>
                      <w:color w:val="000000" w:themeColor="text1"/>
                      <w:szCs w:val="21"/>
                    </w:rPr>
                    <w:t xml:space="preserve"> □</w:t>
                  </w:r>
                  <w:r>
                    <w:rPr>
                      <w:rFonts w:hint="eastAsia"/>
                      <w:color w:val="000000" w:themeColor="text1"/>
                    </w:rPr>
                    <w:t>已部分落实</w:t>
                  </w:r>
                </w:p>
              </w:tc>
            </w:tr>
          </w:tbl>
          <w:p>
            <w:pPr>
              <w:rPr>
                <w:rFonts w:hint="eastAsia"/>
              </w:rPr>
            </w:pPr>
          </w:p>
        </w:tc>
        <w:tc>
          <w:tcPr>
            <w:tcW w:w="1585" w:type="dxa"/>
            <w:vMerge w:val="continue"/>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改进</w:t>
            </w:r>
          </w:p>
        </w:tc>
        <w:tc>
          <w:tcPr>
            <w:tcW w:w="960" w:type="dxa"/>
            <w:vMerge w:val="restart"/>
          </w:tcPr>
          <w:p>
            <w:r>
              <w:rPr>
                <w:rFonts w:hint="eastAsia"/>
              </w:rPr>
              <w:t>Q10.1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管理手册10.1章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default" w:eastAsia="宋体"/>
                <w:lang w:val="en-US" w:eastAsia="zh-CN"/>
              </w:rPr>
            </w:pPr>
            <w:r>
              <w:rPr>
                <w:color w:val="auto"/>
                <w:highlight w:val="none"/>
              </w:rPr>
              <w:sym w:font="Wingdings" w:char="00A8"/>
            </w:r>
            <w:r>
              <w:rPr>
                <w:rFonts w:hint="eastAsia"/>
                <w:color w:val="auto"/>
                <w:highlight w:val="none"/>
                <w:lang w:val="en-US" w:eastAsia="zh-CN"/>
              </w:rPr>
              <w:t>不符合</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10.3 持续改进</w:t>
            </w:r>
          </w:p>
          <w:p/>
        </w:tc>
        <w:tc>
          <w:tcPr>
            <w:tcW w:w="960" w:type="dxa"/>
            <w:vMerge w:val="restart"/>
          </w:tcPr>
          <w:p>
            <w:r>
              <w:rPr>
                <w:rFonts w:hint="eastAsia"/>
              </w:rPr>
              <w:t>Q10.3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管理手册10.3章</w:t>
            </w:r>
          </w:p>
        </w:tc>
        <w:tc>
          <w:tcPr>
            <w:tcW w:w="1585" w:type="dxa"/>
            <w:vMerge w:val="restart"/>
          </w:tcPr>
          <w:p>
            <w:pPr>
              <w:rPr>
                <w:rFonts w:hint="eastAsia"/>
                <w:color w:val="auto"/>
                <w:highlight w:val="none"/>
                <w:lang w:val="en-US" w:eastAsia="zh-CN"/>
              </w:rPr>
            </w:pPr>
            <w:r>
              <w:rPr>
                <w:color w:val="auto"/>
                <w:highlight w:val="none"/>
              </w:rPr>
              <w:sym w:font="Wingdings" w:char="00FE"/>
            </w:r>
            <w:r>
              <w:rPr>
                <w:rFonts w:hint="eastAsia"/>
                <w:color w:val="auto"/>
                <w:highlight w:val="none"/>
                <w:lang w:val="en-US" w:eastAsia="zh-CN"/>
              </w:rPr>
              <w:t>符合</w:t>
            </w:r>
          </w:p>
          <w:p>
            <w:pPr>
              <w:rPr>
                <w:rFonts w:hint="eastAsia" w:eastAsia="宋体"/>
                <w:lang w:val="en-US" w:eastAsia="zh-CN"/>
              </w:rPr>
            </w:pPr>
            <w:r>
              <w:rPr>
                <w:color w:val="auto"/>
                <w:highlight w:val="none"/>
              </w:rPr>
              <w:sym w:font="Wingdings" w:char="00A8"/>
            </w:r>
            <w:r>
              <w:rPr>
                <w:rFonts w:hint="eastAsia"/>
                <w:color w:val="auto"/>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组织已持续改进质量管理体系的适宜性、充分性和有效性。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管理评审改进措施已落实</w:t>
            </w:r>
          </w:p>
          <w:p>
            <w:pPr>
              <w:rPr>
                <w:u w:val="single"/>
              </w:rPr>
            </w:pPr>
            <w:r>
              <w:rPr>
                <w:rFonts w:hint="eastAsia"/>
              </w:rPr>
              <w:sym w:font="Wingdings" w:char="00A8"/>
            </w:r>
            <w:r>
              <w:rPr>
                <w:rFonts w:hint="eastAsia"/>
              </w:rPr>
              <w:t xml:space="preserve"> 管理评审改进措施未落实的原因：</w:t>
            </w:r>
            <w:r>
              <w:rPr>
                <w:rFonts w:hint="eastAsia"/>
                <w:u w:val="single"/>
              </w:rPr>
              <w:t xml:space="preserve">                              </w:t>
            </w:r>
          </w:p>
          <w:p/>
        </w:tc>
        <w:tc>
          <w:tcPr>
            <w:tcW w:w="1585" w:type="dxa"/>
            <w:vMerge w:val="continue"/>
          </w:tcPr>
          <w:p/>
        </w:tc>
      </w:tr>
    </w:tbl>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E6B21"/>
    <w:rsid w:val="001A2D7F"/>
    <w:rsid w:val="002939AD"/>
    <w:rsid w:val="002B5153"/>
    <w:rsid w:val="00314AF6"/>
    <w:rsid w:val="00337922"/>
    <w:rsid w:val="00340867"/>
    <w:rsid w:val="0034330B"/>
    <w:rsid w:val="00380837"/>
    <w:rsid w:val="003A198A"/>
    <w:rsid w:val="00410914"/>
    <w:rsid w:val="0048201E"/>
    <w:rsid w:val="00536930"/>
    <w:rsid w:val="00564E53"/>
    <w:rsid w:val="005D096A"/>
    <w:rsid w:val="005D5659"/>
    <w:rsid w:val="00600C20"/>
    <w:rsid w:val="00644FE2"/>
    <w:rsid w:val="0067640C"/>
    <w:rsid w:val="006E678B"/>
    <w:rsid w:val="006E7B1D"/>
    <w:rsid w:val="007757F3"/>
    <w:rsid w:val="00792035"/>
    <w:rsid w:val="007C1B48"/>
    <w:rsid w:val="007E3B15"/>
    <w:rsid w:val="007E6AEB"/>
    <w:rsid w:val="00865758"/>
    <w:rsid w:val="008973EE"/>
    <w:rsid w:val="00971600"/>
    <w:rsid w:val="009973B4"/>
    <w:rsid w:val="009C28C1"/>
    <w:rsid w:val="009F7EED"/>
    <w:rsid w:val="00A80636"/>
    <w:rsid w:val="00AF0AAB"/>
    <w:rsid w:val="00BF597E"/>
    <w:rsid w:val="00C51A36"/>
    <w:rsid w:val="00C55228"/>
    <w:rsid w:val="00C63768"/>
    <w:rsid w:val="00CE315A"/>
    <w:rsid w:val="00D06F59"/>
    <w:rsid w:val="00D2392F"/>
    <w:rsid w:val="00D8388C"/>
    <w:rsid w:val="00E6224C"/>
    <w:rsid w:val="00EB0164"/>
    <w:rsid w:val="00ED0F62"/>
    <w:rsid w:val="00FF7401"/>
    <w:rsid w:val="01260C71"/>
    <w:rsid w:val="01A321D9"/>
    <w:rsid w:val="01E27364"/>
    <w:rsid w:val="01FE18C8"/>
    <w:rsid w:val="02C75A20"/>
    <w:rsid w:val="032F5195"/>
    <w:rsid w:val="03A0688A"/>
    <w:rsid w:val="03A32F8E"/>
    <w:rsid w:val="03AB4A3B"/>
    <w:rsid w:val="03AC3D8E"/>
    <w:rsid w:val="03CE483E"/>
    <w:rsid w:val="03CF54E8"/>
    <w:rsid w:val="0405614C"/>
    <w:rsid w:val="04883DB3"/>
    <w:rsid w:val="04981EC9"/>
    <w:rsid w:val="04FE07AC"/>
    <w:rsid w:val="050D3D1E"/>
    <w:rsid w:val="056577F0"/>
    <w:rsid w:val="05705C5F"/>
    <w:rsid w:val="057753FF"/>
    <w:rsid w:val="05A05014"/>
    <w:rsid w:val="05B44859"/>
    <w:rsid w:val="05BE51F9"/>
    <w:rsid w:val="05D4332F"/>
    <w:rsid w:val="05F6270F"/>
    <w:rsid w:val="0605101B"/>
    <w:rsid w:val="061B4460"/>
    <w:rsid w:val="063554F0"/>
    <w:rsid w:val="06444A1B"/>
    <w:rsid w:val="067B702D"/>
    <w:rsid w:val="06994A8D"/>
    <w:rsid w:val="06AA7E97"/>
    <w:rsid w:val="06ED612A"/>
    <w:rsid w:val="07FD44A3"/>
    <w:rsid w:val="081E2104"/>
    <w:rsid w:val="086B3934"/>
    <w:rsid w:val="08761C7A"/>
    <w:rsid w:val="08767210"/>
    <w:rsid w:val="08851DD7"/>
    <w:rsid w:val="08C22483"/>
    <w:rsid w:val="08ED1EE8"/>
    <w:rsid w:val="09005957"/>
    <w:rsid w:val="094663BE"/>
    <w:rsid w:val="096333C5"/>
    <w:rsid w:val="09933EF9"/>
    <w:rsid w:val="09AA0CA5"/>
    <w:rsid w:val="09FA6045"/>
    <w:rsid w:val="0A0F142E"/>
    <w:rsid w:val="0A1C56C1"/>
    <w:rsid w:val="0A8709B9"/>
    <w:rsid w:val="0A904067"/>
    <w:rsid w:val="0AAB13CF"/>
    <w:rsid w:val="0ACA6ED2"/>
    <w:rsid w:val="0AEF4D8D"/>
    <w:rsid w:val="0B2B0BD0"/>
    <w:rsid w:val="0BE64DFF"/>
    <w:rsid w:val="0C5423F7"/>
    <w:rsid w:val="0C8009B8"/>
    <w:rsid w:val="0CC102DA"/>
    <w:rsid w:val="0D181113"/>
    <w:rsid w:val="0D1E4D9B"/>
    <w:rsid w:val="0D270A06"/>
    <w:rsid w:val="0D4D1326"/>
    <w:rsid w:val="0D6A2C36"/>
    <w:rsid w:val="0DB35CC0"/>
    <w:rsid w:val="0E385B07"/>
    <w:rsid w:val="0E49595F"/>
    <w:rsid w:val="0EB8524B"/>
    <w:rsid w:val="0F86648B"/>
    <w:rsid w:val="0F9C35C1"/>
    <w:rsid w:val="0FFA42BF"/>
    <w:rsid w:val="10062D9E"/>
    <w:rsid w:val="100B6D7F"/>
    <w:rsid w:val="100D075A"/>
    <w:rsid w:val="106A3497"/>
    <w:rsid w:val="108219C2"/>
    <w:rsid w:val="10991918"/>
    <w:rsid w:val="10A120FB"/>
    <w:rsid w:val="10AB5B5F"/>
    <w:rsid w:val="10C112A0"/>
    <w:rsid w:val="10C11C69"/>
    <w:rsid w:val="10DD2E35"/>
    <w:rsid w:val="11536201"/>
    <w:rsid w:val="115D3DB9"/>
    <w:rsid w:val="119E3FF4"/>
    <w:rsid w:val="11BD2BE2"/>
    <w:rsid w:val="11BE2038"/>
    <w:rsid w:val="11DC0AC4"/>
    <w:rsid w:val="11E2439D"/>
    <w:rsid w:val="124C3B13"/>
    <w:rsid w:val="12563B2D"/>
    <w:rsid w:val="12A2571D"/>
    <w:rsid w:val="12A42EA7"/>
    <w:rsid w:val="12A506D3"/>
    <w:rsid w:val="13296CDD"/>
    <w:rsid w:val="134E7573"/>
    <w:rsid w:val="13890C2B"/>
    <w:rsid w:val="13A420AC"/>
    <w:rsid w:val="13C11723"/>
    <w:rsid w:val="13C31FF4"/>
    <w:rsid w:val="13EB79B2"/>
    <w:rsid w:val="145B46D3"/>
    <w:rsid w:val="14BA1243"/>
    <w:rsid w:val="14C400FD"/>
    <w:rsid w:val="14EF5EB2"/>
    <w:rsid w:val="14F1297E"/>
    <w:rsid w:val="14F26225"/>
    <w:rsid w:val="15023387"/>
    <w:rsid w:val="15051B66"/>
    <w:rsid w:val="151414F9"/>
    <w:rsid w:val="154C7AB0"/>
    <w:rsid w:val="155F4281"/>
    <w:rsid w:val="158035C7"/>
    <w:rsid w:val="15BC540D"/>
    <w:rsid w:val="16210B83"/>
    <w:rsid w:val="16583F2B"/>
    <w:rsid w:val="16912340"/>
    <w:rsid w:val="169D3E09"/>
    <w:rsid w:val="16AB3CAD"/>
    <w:rsid w:val="16B634A6"/>
    <w:rsid w:val="16E341B9"/>
    <w:rsid w:val="16F10A78"/>
    <w:rsid w:val="17226BDD"/>
    <w:rsid w:val="17446813"/>
    <w:rsid w:val="177551EA"/>
    <w:rsid w:val="179B1D36"/>
    <w:rsid w:val="17C079EC"/>
    <w:rsid w:val="17F76BA3"/>
    <w:rsid w:val="182A66F0"/>
    <w:rsid w:val="182F656A"/>
    <w:rsid w:val="186A6524"/>
    <w:rsid w:val="186F767B"/>
    <w:rsid w:val="187F0353"/>
    <w:rsid w:val="188852B3"/>
    <w:rsid w:val="18DD0D8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327EE5"/>
    <w:rsid w:val="1B462375"/>
    <w:rsid w:val="1B5E3B97"/>
    <w:rsid w:val="1C160B70"/>
    <w:rsid w:val="1C392A3A"/>
    <w:rsid w:val="1C4C1E84"/>
    <w:rsid w:val="1C880B67"/>
    <w:rsid w:val="1C923014"/>
    <w:rsid w:val="1CB1322F"/>
    <w:rsid w:val="1D4D4A00"/>
    <w:rsid w:val="1DC4038A"/>
    <w:rsid w:val="1DF36090"/>
    <w:rsid w:val="1DFE25B1"/>
    <w:rsid w:val="1E511FFA"/>
    <w:rsid w:val="1E5A51CF"/>
    <w:rsid w:val="1E752FA2"/>
    <w:rsid w:val="1EF77273"/>
    <w:rsid w:val="1F1B65D5"/>
    <w:rsid w:val="1F35289F"/>
    <w:rsid w:val="1F4E73A5"/>
    <w:rsid w:val="1F8E0A45"/>
    <w:rsid w:val="1FAB395F"/>
    <w:rsid w:val="1FB451F2"/>
    <w:rsid w:val="1FB8538A"/>
    <w:rsid w:val="1FF16224"/>
    <w:rsid w:val="201572E0"/>
    <w:rsid w:val="20272451"/>
    <w:rsid w:val="203255D2"/>
    <w:rsid w:val="20403C64"/>
    <w:rsid w:val="205905F2"/>
    <w:rsid w:val="205B3801"/>
    <w:rsid w:val="207644C2"/>
    <w:rsid w:val="20A856C1"/>
    <w:rsid w:val="21A07B88"/>
    <w:rsid w:val="21A5651D"/>
    <w:rsid w:val="21D24208"/>
    <w:rsid w:val="22044DFC"/>
    <w:rsid w:val="2241348F"/>
    <w:rsid w:val="226B1105"/>
    <w:rsid w:val="226B2F60"/>
    <w:rsid w:val="22813299"/>
    <w:rsid w:val="23194B67"/>
    <w:rsid w:val="232E1BCD"/>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247B4B"/>
    <w:rsid w:val="28341F0D"/>
    <w:rsid w:val="28481DD2"/>
    <w:rsid w:val="2892323E"/>
    <w:rsid w:val="289361DE"/>
    <w:rsid w:val="28E623FA"/>
    <w:rsid w:val="28E917C2"/>
    <w:rsid w:val="291C5E47"/>
    <w:rsid w:val="296D2D47"/>
    <w:rsid w:val="29CB46C2"/>
    <w:rsid w:val="29E253FB"/>
    <w:rsid w:val="29F77BA5"/>
    <w:rsid w:val="2A3A6E77"/>
    <w:rsid w:val="2A85024C"/>
    <w:rsid w:val="2B0D2F04"/>
    <w:rsid w:val="2B1D2572"/>
    <w:rsid w:val="2B206A2D"/>
    <w:rsid w:val="2B4C1179"/>
    <w:rsid w:val="2BD60481"/>
    <w:rsid w:val="2BEA3FA7"/>
    <w:rsid w:val="2C0D0D35"/>
    <w:rsid w:val="2C2E44D4"/>
    <w:rsid w:val="2C611677"/>
    <w:rsid w:val="2C6F7203"/>
    <w:rsid w:val="2C7B6C71"/>
    <w:rsid w:val="2D357F0D"/>
    <w:rsid w:val="2D4E604F"/>
    <w:rsid w:val="2D5C2AB0"/>
    <w:rsid w:val="2D7A20E6"/>
    <w:rsid w:val="2DC57805"/>
    <w:rsid w:val="2DDA0493"/>
    <w:rsid w:val="2DDF08DF"/>
    <w:rsid w:val="2DFF79D8"/>
    <w:rsid w:val="2E32284C"/>
    <w:rsid w:val="2E367C56"/>
    <w:rsid w:val="2E440885"/>
    <w:rsid w:val="2EEE512C"/>
    <w:rsid w:val="2F462957"/>
    <w:rsid w:val="2F511B05"/>
    <w:rsid w:val="2F7C571D"/>
    <w:rsid w:val="2FA86B66"/>
    <w:rsid w:val="2FE823A5"/>
    <w:rsid w:val="2FEA1C57"/>
    <w:rsid w:val="300172B8"/>
    <w:rsid w:val="30945277"/>
    <w:rsid w:val="30C71DD4"/>
    <w:rsid w:val="30DC7CB1"/>
    <w:rsid w:val="30ED30CC"/>
    <w:rsid w:val="31064141"/>
    <w:rsid w:val="310D6AA3"/>
    <w:rsid w:val="31482B78"/>
    <w:rsid w:val="31B477DB"/>
    <w:rsid w:val="31B67BE2"/>
    <w:rsid w:val="31CA71DD"/>
    <w:rsid w:val="324E5138"/>
    <w:rsid w:val="331E21CE"/>
    <w:rsid w:val="33562A0D"/>
    <w:rsid w:val="33715F28"/>
    <w:rsid w:val="33F07155"/>
    <w:rsid w:val="340C6245"/>
    <w:rsid w:val="343C4522"/>
    <w:rsid w:val="347A0336"/>
    <w:rsid w:val="34F92D63"/>
    <w:rsid w:val="35527F1F"/>
    <w:rsid w:val="357914C0"/>
    <w:rsid w:val="35CA668A"/>
    <w:rsid w:val="35D721CD"/>
    <w:rsid w:val="36174333"/>
    <w:rsid w:val="364A3F09"/>
    <w:rsid w:val="364C3817"/>
    <w:rsid w:val="367A501B"/>
    <w:rsid w:val="368249AA"/>
    <w:rsid w:val="36EA501F"/>
    <w:rsid w:val="372D3763"/>
    <w:rsid w:val="37A3423F"/>
    <w:rsid w:val="37A66325"/>
    <w:rsid w:val="37AF435B"/>
    <w:rsid w:val="37B82B0E"/>
    <w:rsid w:val="37D8509F"/>
    <w:rsid w:val="380178E9"/>
    <w:rsid w:val="38363F4B"/>
    <w:rsid w:val="385F5D57"/>
    <w:rsid w:val="386866FF"/>
    <w:rsid w:val="38803663"/>
    <w:rsid w:val="389A539F"/>
    <w:rsid w:val="38B37216"/>
    <w:rsid w:val="38BD5C7F"/>
    <w:rsid w:val="38C5580C"/>
    <w:rsid w:val="38EC325F"/>
    <w:rsid w:val="39090322"/>
    <w:rsid w:val="39286E54"/>
    <w:rsid w:val="39445E95"/>
    <w:rsid w:val="399117DD"/>
    <w:rsid w:val="39972637"/>
    <w:rsid w:val="39D7104B"/>
    <w:rsid w:val="3A3E0D9F"/>
    <w:rsid w:val="3A5573DE"/>
    <w:rsid w:val="3AAB1306"/>
    <w:rsid w:val="3ABD0173"/>
    <w:rsid w:val="3ACE23E2"/>
    <w:rsid w:val="3B227AA7"/>
    <w:rsid w:val="3B4241C0"/>
    <w:rsid w:val="3B5F0280"/>
    <w:rsid w:val="3B8C1823"/>
    <w:rsid w:val="3BCD5A20"/>
    <w:rsid w:val="3BEE1D6F"/>
    <w:rsid w:val="3BF1473C"/>
    <w:rsid w:val="3CA475E5"/>
    <w:rsid w:val="3CA717F2"/>
    <w:rsid w:val="3CC56579"/>
    <w:rsid w:val="3CEB2CC9"/>
    <w:rsid w:val="3D053E44"/>
    <w:rsid w:val="3D721433"/>
    <w:rsid w:val="3DA34201"/>
    <w:rsid w:val="3DAB460B"/>
    <w:rsid w:val="3DDA7DB2"/>
    <w:rsid w:val="3DF92E01"/>
    <w:rsid w:val="3E130DD4"/>
    <w:rsid w:val="3E342793"/>
    <w:rsid w:val="3E3C5235"/>
    <w:rsid w:val="3EA34B57"/>
    <w:rsid w:val="3ED604A2"/>
    <w:rsid w:val="3EEF1E6E"/>
    <w:rsid w:val="3F654598"/>
    <w:rsid w:val="3FEB6494"/>
    <w:rsid w:val="40571F31"/>
    <w:rsid w:val="40760623"/>
    <w:rsid w:val="408B7234"/>
    <w:rsid w:val="40E27AF7"/>
    <w:rsid w:val="40F80D82"/>
    <w:rsid w:val="41342A6B"/>
    <w:rsid w:val="414C7183"/>
    <w:rsid w:val="418D501C"/>
    <w:rsid w:val="41BB58E6"/>
    <w:rsid w:val="41C832C7"/>
    <w:rsid w:val="41E9167B"/>
    <w:rsid w:val="42416B50"/>
    <w:rsid w:val="4262379E"/>
    <w:rsid w:val="427A1188"/>
    <w:rsid w:val="4289200B"/>
    <w:rsid w:val="429B6650"/>
    <w:rsid w:val="42C77562"/>
    <w:rsid w:val="432A5E11"/>
    <w:rsid w:val="433B1167"/>
    <w:rsid w:val="433E2DC7"/>
    <w:rsid w:val="435F500F"/>
    <w:rsid w:val="43C730CD"/>
    <w:rsid w:val="441D0975"/>
    <w:rsid w:val="44A567F5"/>
    <w:rsid w:val="453B1EBC"/>
    <w:rsid w:val="45635AEC"/>
    <w:rsid w:val="45BA54FA"/>
    <w:rsid w:val="45EC74A5"/>
    <w:rsid w:val="45FA6B69"/>
    <w:rsid w:val="460414DD"/>
    <w:rsid w:val="46332B60"/>
    <w:rsid w:val="4654705C"/>
    <w:rsid w:val="468C6A25"/>
    <w:rsid w:val="468D2C1F"/>
    <w:rsid w:val="468D3CA5"/>
    <w:rsid w:val="4694248B"/>
    <w:rsid w:val="46A32063"/>
    <w:rsid w:val="46EA7997"/>
    <w:rsid w:val="470243E7"/>
    <w:rsid w:val="471F1498"/>
    <w:rsid w:val="47271944"/>
    <w:rsid w:val="475C4BFE"/>
    <w:rsid w:val="47BB044C"/>
    <w:rsid w:val="47F95078"/>
    <w:rsid w:val="48262DE5"/>
    <w:rsid w:val="489C0A39"/>
    <w:rsid w:val="490747F7"/>
    <w:rsid w:val="49105C6D"/>
    <w:rsid w:val="496D185A"/>
    <w:rsid w:val="49C0281D"/>
    <w:rsid w:val="49E449BF"/>
    <w:rsid w:val="49EC77B8"/>
    <w:rsid w:val="49ED5B1C"/>
    <w:rsid w:val="4AD45EF1"/>
    <w:rsid w:val="4AE04A18"/>
    <w:rsid w:val="4B12455E"/>
    <w:rsid w:val="4B337454"/>
    <w:rsid w:val="4B407CC6"/>
    <w:rsid w:val="4B42232B"/>
    <w:rsid w:val="4B825A76"/>
    <w:rsid w:val="4B8B3702"/>
    <w:rsid w:val="4B9B0D7E"/>
    <w:rsid w:val="4B9C6F9C"/>
    <w:rsid w:val="4BC83B65"/>
    <w:rsid w:val="4BC87AB0"/>
    <w:rsid w:val="4C1454A4"/>
    <w:rsid w:val="4CA74E41"/>
    <w:rsid w:val="4CA91B51"/>
    <w:rsid w:val="4CB62537"/>
    <w:rsid w:val="4CD2365B"/>
    <w:rsid w:val="4CFB4E3C"/>
    <w:rsid w:val="4D352804"/>
    <w:rsid w:val="4D791805"/>
    <w:rsid w:val="4D8F2F88"/>
    <w:rsid w:val="4DB86BCB"/>
    <w:rsid w:val="4DD85058"/>
    <w:rsid w:val="4E0166A9"/>
    <w:rsid w:val="4E1551DB"/>
    <w:rsid w:val="4E7774D0"/>
    <w:rsid w:val="4F594843"/>
    <w:rsid w:val="4F92095C"/>
    <w:rsid w:val="4FAF3052"/>
    <w:rsid w:val="4FD023AB"/>
    <w:rsid w:val="503C3BCC"/>
    <w:rsid w:val="505C4971"/>
    <w:rsid w:val="50C41CF1"/>
    <w:rsid w:val="51217DA6"/>
    <w:rsid w:val="51294703"/>
    <w:rsid w:val="51425A27"/>
    <w:rsid w:val="5158757E"/>
    <w:rsid w:val="521A5D1E"/>
    <w:rsid w:val="523624DE"/>
    <w:rsid w:val="52A23F56"/>
    <w:rsid w:val="52BA5471"/>
    <w:rsid w:val="52D871F4"/>
    <w:rsid w:val="52F263D6"/>
    <w:rsid w:val="52F737EA"/>
    <w:rsid w:val="53024EB7"/>
    <w:rsid w:val="53261795"/>
    <w:rsid w:val="5373268D"/>
    <w:rsid w:val="53953BE7"/>
    <w:rsid w:val="53F51637"/>
    <w:rsid w:val="54124FEF"/>
    <w:rsid w:val="541C4B67"/>
    <w:rsid w:val="552A2893"/>
    <w:rsid w:val="555A4FF2"/>
    <w:rsid w:val="556B045B"/>
    <w:rsid w:val="557D4E77"/>
    <w:rsid w:val="55C375DD"/>
    <w:rsid w:val="56156439"/>
    <w:rsid w:val="5656544C"/>
    <w:rsid w:val="56643532"/>
    <w:rsid w:val="568B5A7B"/>
    <w:rsid w:val="56EF2BB9"/>
    <w:rsid w:val="570A6E63"/>
    <w:rsid w:val="573B0118"/>
    <w:rsid w:val="573D2268"/>
    <w:rsid w:val="57411925"/>
    <w:rsid w:val="57441E32"/>
    <w:rsid w:val="57535542"/>
    <w:rsid w:val="575B3098"/>
    <w:rsid w:val="577F7188"/>
    <w:rsid w:val="57F55B90"/>
    <w:rsid w:val="580F191D"/>
    <w:rsid w:val="58276F84"/>
    <w:rsid w:val="58584813"/>
    <w:rsid w:val="58B728A2"/>
    <w:rsid w:val="58B868EB"/>
    <w:rsid w:val="590D059A"/>
    <w:rsid w:val="592802C2"/>
    <w:rsid w:val="5939327C"/>
    <w:rsid w:val="5978735A"/>
    <w:rsid w:val="59AF126F"/>
    <w:rsid w:val="59E42114"/>
    <w:rsid w:val="59E710C8"/>
    <w:rsid w:val="59FD0626"/>
    <w:rsid w:val="5A0B0AB5"/>
    <w:rsid w:val="5A1C59A1"/>
    <w:rsid w:val="5A407674"/>
    <w:rsid w:val="5A432974"/>
    <w:rsid w:val="5A6A20C5"/>
    <w:rsid w:val="5AD64AF2"/>
    <w:rsid w:val="5AEE39DB"/>
    <w:rsid w:val="5B046AEC"/>
    <w:rsid w:val="5B544EB3"/>
    <w:rsid w:val="5B6A33DD"/>
    <w:rsid w:val="5BD1484D"/>
    <w:rsid w:val="5BF04FFA"/>
    <w:rsid w:val="5C4D2649"/>
    <w:rsid w:val="5C8D6CFF"/>
    <w:rsid w:val="5C966EB6"/>
    <w:rsid w:val="5C9E007C"/>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56050"/>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876D77"/>
    <w:rsid w:val="628F4421"/>
    <w:rsid w:val="62CA4AF4"/>
    <w:rsid w:val="62E4371E"/>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14359"/>
    <w:rsid w:val="65A33DF6"/>
    <w:rsid w:val="65BE04E1"/>
    <w:rsid w:val="65F429F0"/>
    <w:rsid w:val="665A6FDB"/>
    <w:rsid w:val="66B368AE"/>
    <w:rsid w:val="66B532F3"/>
    <w:rsid w:val="66C2760F"/>
    <w:rsid w:val="675A3B6C"/>
    <w:rsid w:val="677C2796"/>
    <w:rsid w:val="67AF7DB6"/>
    <w:rsid w:val="680564C6"/>
    <w:rsid w:val="681B3F7A"/>
    <w:rsid w:val="68233428"/>
    <w:rsid w:val="68575061"/>
    <w:rsid w:val="68B54AF7"/>
    <w:rsid w:val="68CA009F"/>
    <w:rsid w:val="695B5920"/>
    <w:rsid w:val="69B35A0D"/>
    <w:rsid w:val="69CC607C"/>
    <w:rsid w:val="69EA1163"/>
    <w:rsid w:val="69F96768"/>
    <w:rsid w:val="6A287F98"/>
    <w:rsid w:val="6AB40496"/>
    <w:rsid w:val="6ABD1D5E"/>
    <w:rsid w:val="6AE81CC5"/>
    <w:rsid w:val="6AF33939"/>
    <w:rsid w:val="6B795D62"/>
    <w:rsid w:val="6BC747F5"/>
    <w:rsid w:val="6BD238E6"/>
    <w:rsid w:val="6BD35CE4"/>
    <w:rsid w:val="6C3014BE"/>
    <w:rsid w:val="6C5D414F"/>
    <w:rsid w:val="6C635932"/>
    <w:rsid w:val="6CA324B4"/>
    <w:rsid w:val="6CC44B47"/>
    <w:rsid w:val="6CDE17FD"/>
    <w:rsid w:val="6D1D2C91"/>
    <w:rsid w:val="6D232D3C"/>
    <w:rsid w:val="6D2F5D1E"/>
    <w:rsid w:val="6D792112"/>
    <w:rsid w:val="6E641038"/>
    <w:rsid w:val="6EBD0EA6"/>
    <w:rsid w:val="6F2F5C01"/>
    <w:rsid w:val="6F435405"/>
    <w:rsid w:val="6F4810D8"/>
    <w:rsid w:val="6F6D2BAA"/>
    <w:rsid w:val="6F9119BB"/>
    <w:rsid w:val="6F9A4A47"/>
    <w:rsid w:val="701710D0"/>
    <w:rsid w:val="70795456"/>
    <w:rsid w:val="709946EC"/>
    <w:rsid w:val="70B256FB"/>
    <w:rsid w:val="72226A31"/>
    <w:rsid w:val="72702455"/>
    <w:rsid w:val="728F2E47"/>
    <w:rsid w:val="72973011"/>
    <w:rsid w:val="72E42D1B"/>
    <w:rsid w:val="734F0911"/>
    <w:rsid w:val="736054C4"/>
    <w:rsid w:val="736C572D"/>
    <w:rsid w:val="73A422EB"/>
    <w:rsid w:val="74103E55"/>
    <w:rsid w:val="745B622A"/>
    <w:rsid w:val="753E2D2E"/>
    <w:rsid w:val="75B91B9C"/>
    <w:rsid w:val="75DB13A5"/>
    <w:rsid w:val="75E00376"/>
    <w:rsid w:val="75E552E3"/>
    <w:rsid w:val="762E2DED"/>
    <w:rsid w:val="7648538B"/>
    <w:rsid w:val="76577132"/>
    <w:rsid w:val="76BD747C"/>
    <w:rsid w:val="76CD52EB"/>
    <w:rsid w:val="76FE004A"/>
    <w:rsid w:val="771B17CC"/>
    <w:rsid w:val="77462C4C"/>
    <w:rsid w:val="77A268F6"/>
    <w:rsid w:val="77CC3658"/>
    <w:rsid w:val="780F54C3"/>
    <w:rsid w:val="782C6CF7"/>
    <w:rsid w:val="78680ECD"/>
    <w:rsid w:val="7880670B"/>
    <w:rsid w:val="78A25951"/>
    <w:rsid w:val="78A35FE5"/>
    <w:rsid w:val="78C4002B"/>
    <w:rsid w:val="78C507F8"/>
    <w:rsid w:val="78EE7F5B"/>
    <w:rsid w:val="78F11CE1"/>
    <w:rsid w:val="78F66955"/>
    <w:rsid w:val="78F8423B"/>
    <w:rsid w:val="79053EDA"/>
    <w:rsid w:val="79097264"/>
    <w:rsid w:val="791D3993"/>
    <w:rsid w:val="79202162"/>
    <w:rsid w:val="7924138B"/>
    <w:rsid w:val="79826449"/>
    <w:rsid w:val="79D339B9"/>
    <w:rsid w:val="7A200C95"/>
    <w:rsid w:val="7A594332"/>
    <w:rsid w:val="7A8564DB"/>
    <w:rsid w:val="7AC22B97"/>
    <w:rsid w:val="7B190280"/>
    <w:rsid w:val="7B1F77A4"/>
    <w:rsid w:val="7B292799"/>
    <w:rsid w:val="7BC34524"/>
    <w:rsid w:val="7C090682"/>
    <w:rsid w:val="7C183634"/>
    <w:rsid w:val="7C351D89"/>
    <w:rsid w:val="7C6A6CA8"/>
    <w:rsid w:val="7C9307A3"/>
    <w:rsid w:val="7CE81F24"/>
    <w:rsid w:val="7CF04E00"/>
    <w:rsid w:val="7D41026F"/>
    <w:rsid w:val="7D59343F"/>
    <w:rsid w:val="7E0A78B3"/>
    <w:rsid w:val="7E2912F3"/>
    <w:rsid w:val="7F850D3B"/>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1113</Words>
  <Characters>6348</Characters>
  <Lines>52</Lines>
  <Paragraphs>14</Paragraphs>
  <TotalTime>2</TotalTime>
  <ScaleCrop>false</ScaleCrop>
  <LinksUpToDate>false</LinksUpToDate>
  <CharactersWithSpaces>7447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2021-05-17T17:02:14Z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DE27462D30CE47698B377BC9737567EA</vt:lpwstr>
  </property>
</Properties>
</file>