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4"/>
                <w:szCs w:val="24"/>
              </w:rPr>
            </w:pPr>
            <w:r>
              <w:rPr>
                <w:rFonts w:hint="eastAsia" w:ascii="宋体" w:hAnsi="宋体" w:eastAsia="宋体" w:cs="宋体"/>
                <w:sz w:val="24"/>
                <w:szCs w:val="24"/>
              </w:rPr>
              <w:t>过程与活动、</w:t>
            </w:r>
          </w:p>
          <w:p>
            <w:pPr>
              <w:spacing w:line="360" w:lineRule="auto"/>
              <w:jc w:val="center"/>
              <w:rPr>
                <w:rFonts w:hint="eastAsia" w:ascii="宋体" w:hAnsi="宋体" w:eastAsia="宋体" w:cs="宋体"/>
              </w:rPr>
            </w:pPr>
            <w:r>
              <w:rPr>
                <w:rFonts w:hint="eastAsia" w:ascii="宋体" w:hAnsi="宋体" w:eastAsia="宋体" w:cs="宋体"/>
                <w:sz w:val="24"/>
                <w:szCs w:val="24"/>
              </w:rPr>
              <w:t>抽样计划</w:t>
            </w:r>
          </w:p>
        </w:tc>
        <w:tc>
          <w:tcPr>
            <w:tcW w:w="960"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涉及</w:t>
            </w:r>
          </w:p>
          <w:p>
            <w:pPr>
              <w:spacing w:line="360" w:lineRule="auto"/>
              <w:rPr>
                <w:rFonts w:hint="eastAsia" w:ascii="宋体" w:hAnsi="宋体" w:eastAsia="宋体" w:cs="宋体"/>
              </w:rPr>
            </w:pPr>
            <w:r>
              <w:rPr>
                <w:rFonts w:hint="eastAsia" w:ascii="宋体" w:hAnsi="宋体" w:eastAsia="宋体" w:cs="宋体"/>
                <w:sz w:val="24"/>
                <w:szCs w:val="24"/>
              </w:rPr>
              <w:t>条款</w:t>
            </w:r>
          </w:p>
        </w:tc>
        <w:tc>
          <w:tcPr>
            <w:tcW w:w="10004" w:type="dxa"/>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rPr>
              <w:t>受审核部门：</w:t>
            </w:r>
            <w:r>
              <w:rPr>
                <w:rFonts w:hint="eastAsia" w:ascii="宋体" w:hAnsi="宋体" w:eastAsia="宋体" w:cs="宋体"/>
                <w:color w:val="auto"/>
                <w:sz w:val="21"/>
                <w:szCs w:val="21"/>
                <w:lang w:val="en-US" w:eastAsia="zh-CN"/>
              </w:rPr>
              <w:t>供销部</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主管领导：</w:t>
            </w:r>
            <w:r>
              <w:rPr>
                <w:rFonts w:hint="eastAsia" w:ascii="宋体" w:hAnsi="宋体" w:cs="宋体"/>
                <w:color w:val="auto"/>
                <w:sz w:val="21"/>
                <w:szCs w:val="21"/>
                <w:lang w:val="en-US" w:eastAsia="zh-CN"/>
              </w:rPr>
              <w:t>邵燕军</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陪同人员：</w:t>
            </w:r>
            <w:r>
              <w:rPr>
                <w:rFonts w:hint="eastAsia" w:ascii="宋体" w:hAnsi="宋体" w:cs="宋体"/>
                <w:color w:val="auto"/>
                <w:sz w:val="21"/>
                <w:szCs w:val="21"/>
                <w:lang w:val="en-US" w:eastAsia="zh-CN"/>
              </w:rPr>
              <w:t>张彩霞</w:t>
            </w:r>
          </w:p>
        </w:tc>
        <w:tc>
          <w:tcPr>
            <w:tcW w:w="1585" w:type="dxa"/>
            <w:vMerge w:val="restart"/>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rPr>
            </w:pPr>
          </w:p>
        </w:tc>
        <w:tc>
          <w:tcPr>
            <w:tcW w:w="960" w:type="dxa"/>
            <w:vMerge w:val="continue"/>
            <w:vAlign w:val="center"/>
          </w:tcPr>
          <w:p>
            <w:pPr>
              <w:spacing w:line="360" w:lineRule="auto"/>
              <w:rPr>
                <w:rFonts w:hint="eastAsia" w:ascii="宋体" w:hAnsi="宋体" w:eastAsia="宋体" w:cs="宋体"/>
              </w:rPr>
            </w:pPr>
          </w:p>
        </w:tc>
        <w:tc>
          <w:tcPr>
            <w:tcW w:w="10004" w:type="dxa"/>
            <w:vAlign w:val="center"/>
          </w:tcPr>
          <w:p>
            <w:pPr>
              <w:spacing w:before="120" w:line="360" w:lineRule="auto"/>
              <w:rPr>
                <w:rFonts w:hint="eastAsia" w:ascii="宋体" w:hAnsi="宋体" w:eastAsia="宋体" w:cs="宋体"/>
                <w:sz w:val="21"/>
                <w:szCs w:val="21"/>
                <w:lang w:val="en-US" w:eastAsia="zh-CN"/>
              </w:rPr>
            </w:pPr>
            <w:r>
              <w:rPr>
                <w:rFonts w:hint="eastAsia" w:ascii="宋体" w:hAnsi="宋体" w:eastAsia="宋体" w:cs="宋体"/>
                <w:color w:val="auto"/>
                <w:sz w:val="21"/>
                <w:szCs w:val="21"/>
              </w:rPr>
              <w:t>审核员：</w:t>
            </w:r>
            <w:r>
              <w:rPr>
                <w:rFonts w:hint="eastAsia" w:ascii="宋体" w:hAnsi="宋体" w:cs="宋体"/>
                <w:color w:val="auto"/>
                <w:sz w:val="21"/>
                <w:szCs w:val="21"/>
                <w:lang w:val="en-US" w:eastAsia="zh-CN"/>
              </w:rPr>
              <w:t>张磊</w:t>
            </w: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审核时间：202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15</w:t>
            </w:r>
            <w:r>
              <w:rPr>
                <w:rFonts w:hint="eastAsia" w:ascii="宋体" w:hAnsi="宋体" w:eastAsia="宋体" w:cs="宋体"/>
                <w:color w:val="auto"/>
                <w:sz w:val="21"/>
                <w:szCs w:val="21"/>
                <w:lang w:val="en-US" w:eastAsia="zh-CN"/>
              </w:rPr>
              <w:t>日</w:t>
            </w:r>
          </w:p>
        </w:tc>
        <w:tc>
          <w:tcPr>
            <w:tcW w:w="1585" w:type="dxa"/>
            <w:vMerge w:val="continue"/>
          </w:tcPr>
          <w:p>
            <w:pPr>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rPr>
            </w:pPr>
          </w:p>
        </w:tc>
        <w:tc>
          <w:tcPr>
            <w:tcW w:w="960" w:type="dxa"/>
            <w:vMerge w:val="continue"/>
            <w:vAlign w:val="center"/>
          </w:tcPr>
          <w:p>
            <w:pPr>
              <w:spacing w:line="360" w:lineRule="auto"/>
              <w:rPr>
                <w:rFonts w:hint="eastAsia" w:ascii="宋体" w:hAnsi="宋体" w:eastAsia="宋体" w:cs="宋体"/>
              </w:rPr>
            </w:pPr>
          </w:p>
        </w:tc>
        <w:tc>
          <w:tcPr>
            <w:tcW w:w="10004" w:type="dxa"/>
            <w:vAlign w:val="center"/>
          </w:tcPr>
          <w:p>
            <w:pPr>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审核条款：</w:t>
            </w:r>
            <w:r>
              <w:rPr>
                <w:rFonts w:hint="eastAsia" w:ascii="宋体" w:hAnsi="宋体" w:eastAsia="宋体" w:cs="宋体"/>
                <w:sz w:val="21"/>
                <w:szCs w:val="21"/>
                <w:lang w:val="en-US" w:eastAsia="zh-CN"/>
              </w:rPr>
              <w:t xml:space="preserve"> </w:t>
            </w:r>
            <w:r>
              <w:rPr>
                <w:rFonts w:hint="eastAsia" w:ascii="宋体" w:hAnsi="宋体" w:eastAsia="宋体" w:cs="宋体"/>
                <w:color w:val="auto"/>
                <w:sz w:val="21"/>
                <w:szCs w:val="21"/>
                <w:lang w:val="en-US" w:eastAsia="zh-CN"/>
              </w:rPr>
              <w:t>QEO：</w:t>
            </w:r>
            <w:r>
              <w:rPr>
                <w:rFonts w:hint="eastAsia" w:ascii="宋体" w:hAnsi="宋体" w:eastAsia="宋体" w:cs="宋体"/>
                <w:color w:val="auto"/>
                <w:sz w:val="21"/>
                <w:szCs w:val="21"/>
              </w:rPr>
              <w:t>5.3</w:t>
            </w:r>
            <w:r>
              <w:rPr>
                <w:rFonts w:hint="eastAsia" w:ascii="宋体" w:hAnsi="宋体" w:eastAsia="宋体" w:cs="宋体"/>
                <w:color w:val="auto"/>
                <w:sz w:val="21"/>
                <w:szCs w:val="21"/>
                <w:lang w:val="en-US" w:eastAsia="zh-CN"/>
              </w:rPr>
              <w:t>、6.2          EO：</w:t>
            </w:r>
            <w:r>
              <w:rPr>
                <w:rFonts w:hint="eastAsia" w:ascii="宋体" w:hAnsi="宋体" w:eastAsia="宋体" w:cs="宋体"/>
                <w:color w:val="auto"/>
                <w:sz w:val="21"/>
                <w:szCs w:val="21"/>
              </w:rPr>
              <w:t>6.1.2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6.1.4、8.1、8.2</w:t>
            </w:r>
          </w:p>
        </w:tc>
        <w:tc>
          <w:tcPr>
            <w:tcW w:w="1585" w:type="dxa"/>
            <w:vMerge w:val="continue"/>
          </w:tcPr>
          <w:p>
            <w:pPr>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hint="eastAsia" w:ascii="宋体" w:hAnsi="宋体" w:eastAsia="宋体" w:cs="宋体"/>
              </w:rPr>
            </w:pPr>
            <w:r>
              <w:rPr>
                <w:rFonts w:hint="eastAsia" w:ascii="宋体" w:hAnsi="宋体" w:eastAsia="宋体" w:cs="宋体"/>
                <w:szCs w:val="21"/>
              </w:rPr>
              <w:t>组织的岗位、职责和权限</w:t>
            </w:r>
          </w:p>
        </w:tc>
        <w:tc>
          <w:tcPr>
            <w:tcW w:w="960" w:type="dxa"/>
          </w:tcPr>
          <w:p>
            <w:pPr>
              <w:spacing w:line="360" w:lineRule="auto"/>
              <w:rPr>
                <w:rFonts w:hint="eastAsia" w:ascii="宋体" w:hAnsi="宋体" w:eastAsia="宋体" w:cs="宋体"/>
              </w:rPr>
            </w:pPr>
            <w:r>
              <w:rPr>
                <w:rFonts w:hint="eastAsia" w:ascii="宋体" w:hAnsi="宋体" w:eastAsia="宋体" w:cs="宋体"/>
                <w:szCs w:val="21"/>
              </w:rPr>
              <w:t>QEO:5.3</w:t>
            </w:r>
            <w:r>
              <w:rPr>
                <w:rFonts w:hint="eastAsia" w:ascii="宋体" w:hAnsi="宋体" w:eastAsia="宋体" w:cs="宋体"/>
              </w:rPr>
              <w:t xml:space="preserve"> </w:t>
            </w:r>
          </w:p>
        </w:tc>
        <w:tc>
          <w:tcPr>
            <w:tcW w:w="10004" w:type="dxa"/>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eastAsia="zh-CN"/>
              </w:rPr>
              <w:t>供销部</w:t>
            </w:r>
            <w:r>
              <w:rPr>
                <w:rFonts w:hint="eastAsia" w:ascii="宋体" w:hAnsi="宋体" w:eastAsia="宋体" w:cs="宋体"/>
                <w:szCs w:val="21"/>
              </w:rPr>
              <w:t>按照公司领导要求，做好公司职能和岗位的具体确定，对从事</w:t>
            </w:r>
            <w:r>
              <w:rPr>
                <w:rFonts w:hint="eastAsia" w:ascii="宋体" w:hAnsi="宋体" w:eastAsia="宋体" w:cs="宋体"/>
                <w:szCs w:val="21"/>
                <w:lang w:eastAsia="zh-CN"/>
              </w:rPr>
              <w:t>高性能轻质玻化陶瓷制品的</w:t>
            </w:r>
            <w:r>
              <w:rPr>
                <w:rFonts w:hint="eastAsia" w:ascii="宋体" w:hAnsi="宋体" w:cs="宋体"/>
                <w:szCs w:val="21"/>
                <w:lang w:val="en-US" w:eastAsia="zh-CN"/>
              </w:rPr>
              <w:t>销售</w:t>
            </w:r>
            <w:r>
              <w:rPr>
                <w:rFonts w:hint="eastAsia" w:ascii="宋体" w:hAnsi="宋体" w:eastAsia="宋体" w:cs="宋体"/>
                <w:szCs w:val="21"/>
              </w:rPr>
              <w:t>有关的管理、执行和验证人员规定其职责、权限及其相互关系，以实现公司管理方针和管理目标。</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供销部</w:t>
            </w:r>
            <w:r>
              <w:rPr>
                <w:rFonts w:hint="eastAsia" w:ascii="宋体" w:hAnsi="宋体" w:eastAsia="宋体" w:cs="宋体"/>
                <w:szCs w:val="21"/>
              </w:rPr>
              <w:t>负责人：</w:t>
            </w:r>
            <w:r>
              <w:rPr>
                <w:rFonts w:hint="eastAsia" w:ascii="宋体" w:hAnsi="宋体" w:cs="宋体"/>
                <w:szCs w:val="21"/>
                <w:lang w:val="en-US" w:eastAsia="zh-CN"/>
              </w:rPr>
              <w:t>邵燕军</w:t>
            </w:r>
            <w:r>
              <w:rPr>
                <w:rFonts w:hint="eastAsia" w:ascii="宋体" w:hAnsi="宋体" w:eastAsia="宋体" w:cs="宋体"/>
                <w:szCs w:val="21"/>
              </w:rPr>
              <w:t>。在手册中确定了</w:t>
            </w:r>
            <w:r>
              <w:rPr>
                <w:rFonts w:hint="eastAsia" w:ascii="宋体" w:hAnsi="宋体" w:eastAsia="宋体" w:cs="宋体"/>
                <w:szCs w:val="21"/>
                <w:lang w:eastAsia="zh-CN"/>
              </w:rPr>
              <w:t>供销部</w:t>
            </w:r>
            <w:r>
              <w:rPr>
                <w:rFonts w:hint="eastAsia" w:ascii="宋体" w:hAnsi="宋体" w:eastAsia="宋体" w:cs="宋体"/>
                <w:szCs w:val="21"/>
              </w:rPr>
              <w:t>的职能，人员职责、权限和相互关系。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询问</w:t>
            </w:r>
            <w:r>
              <w:rPr>
                <w:rFonts w:hint="eastAsia" w:ascii="宋体" w:hAnsi="宋体" w:eastAsia="宋体" w:cs="宋体"/>
                <w:szCs w:val="21"/>
                <w:lang w:val="en-US" w:eastAsia="zh-CN"/>
              </w:rPr>
              <w:t>供销部</w:t>
            </w:r>
            <w:r>
              <w:rPr>
                <w:rFonts w:hint="eastAsia" w:ascii="宋体" w:hAnsi="宋体" w:eastAsia="宋体" w:cs="宋体"/>
                <w:szCs w:val="21"/>
              </w:rPr>
              <w:t>人员，基本清楚本部门职责。</w:t>
            </w:r>
          </w:p>
          <w:p>
            <w:pPr>
              <w:spacing w:line="360" w:lineRule="auto"/>
              <w:ind w:firstLine="420"/>
              <w:rPr>
                <w:rFonts w:hint="eastAsia" w:ascii="宋体" w:hAnsi="宋体" w:eastAsia="宋体" w:cs="宋体"/>
                <w:b/>
                <w:color w:val="000000"/>
                <w:szCs w:val="21"/>
              </w:rPr>
            </w:pPr>
            <w:r>
              <w:rPr>
                <w:rFonts w:hint="eastAsia" w:ascii="宋体" w:hAnsi="宋体" w:eastAsia="宋体" w:cs="宋体"/>
                <w:szCs w:val="21"/>
              </w:rPr>
              <w:t>现有上述管理人员配置满足要求，配有与工作相关的电脑、打/复印机、传真机等设施。</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160" w:type="dxa"/>
          </w:tcPr>
          <w:p>
            <w:pPr>
              <w:spacing w:line="360" w:lineRule="auto"/>
              <w:rPr>
                <w:rFonts w:hint="eastAsia" w:ascii="宋体" w:hAnsi="宋体" w:eastAsia="宋体" w:cs="宋体"/>
              </w:rPr>
            </w:pPr>
            <w:r>
              <w:rPr>
                <w:rFonts w:hint="eastAsia" w:ascii="宋体" w:hAnsi="宋体" w:eastAsia="宋体" w:cs="宋体"/>
                <w:szCs w:val="21"/>
              </w:rPr>
              <w:t>质量、环境与职业健康安全目标</w:t>
            </w:r>
          </w:p>
        </w:tc>
        <w:tc>
          <w:tcPr>
            <w:tcW w:w="960" w:type="dxa"/>
          </w:tcPr>
          <w:p>
            <w:pPr>
              <w:spacing w:line="360" w:lineRule="auto"/>
              <w:rPr>
                <w:rFonts w:hint="eastAsia" w:ascii="宋体" w:hAnsi="宋体" w:eastAsia="宋体" w:cs="宋体"/>
              </w:rPr>
            </w:pPr>
            <w:r>
              <w:rPr>
                <w:rFonts w:hint="eastAsia" w:ascii="宋体" w:hAnsi="宋体" w:eastAsia="宋体" w:cs="宋体"/>
                <w:szCs w:val="21"/>
              </w:rPr>
              <w:t>QEO:6.2</w:t>
            </w:r>
          </w:p>
        </w:tc>
        <w:tc>
          <w:tcPr>
            <w:tcW w:w="10004" w:type="dxa"/>
          </w:tcPr>
          <w:p>
            <w:pPr>
              <w:spacing w:line="360" w:lineRule="auto"/>
              <w:rPr>
                <w:rFonts w:hint="eastAsia" w:ascii="宋体" w:hAnsi="宋体" w:eastAsia="宋体" w:cs="宋体"/>
                <w:sz w:val="21"/>
                <w:szCs w:val="21"/>
              </w:rPr>
            </w:pPr>
            <w:r>
              <w:rPr>
                <w:rFonts w:hint="eastAsia" w:ascii="宋体" w:hAnsi="宋体" w:eastAsia="宋体" w:cs="宋体"/>
                <w:sz w:val="21"/>
                <w:szCs w:val="21"/>
              </w:rPr>
              <w:t>部门目标：                考核情况（20</w:t>
            </w:r>
            <w:r>
              <w:rPr>
                <w:rFonts w:hint="eastAsia" w:ascii="宋体" w:hAnsi="宋体" w:eastAsia="宋体" w:cs="宋体"/>
                <w:sz w:val="21"/>
                <w:szCs w:val="21"/>
                <w:lang w:val="en-US" w:eastAsia="zh-CN"/>
              </w:rPr>
              <w:t>21</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办公区固废收集处理率 100%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顾客满意度达 95%以上          98%</w:t>
            </w:r>
          </w:p>
          <w:p>
            <w:pPr>
              <w:spacing w:line="360" w:lineRule="auto"/>
              <w:rPr>
                <w:rFonts w:hint="eastAsia" w:ascii="宋体" w:hAnsi="宋体" w:eastAsia="宋体" w:cs="宋体"/>
                <w:sz w:val="21"/>
                <w:szCs w:val="21"/>
              </w:rPr>
            </w:pPr>
            <w:r>
              <w:rPr>
                <w:rFonts w:hint="eastAsia" w:ascii="宋体" w:hAnsi="宋体" w:eastAsia="宋体" w:cs="宋体"/>
                <w:sz w:val="21"/>
                <w:szCs w:val="21"/>
              </w:rPr>
              <w:t>采购物资合格率100%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合同履约率 100%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固废100%分类处置             100%</w:t>
            </w:r>
          </w:p>
          <w:p>
            <w:pPr>
              <w:spacing w:line="360" w:lineRule="auto"/>
              <w:rPr>
                <w:rFonts w:hint="eastAsia" w:ascii="宋体" w:hAnsi="宋体" w:eastAsia="宋体" w:cs="宋体"/>
                <w:sz w:val="21"/>
                <w:szCs w:val="21"/>
              </w:rPr>
            </w:pPr>
            <w:r>
              <w:rPr>
                <w:rFonts w:hint="eastAsia" w:ascii="宋体" w:hAnsi="宋体" w:eastAsia="宋体" w:cs="宋体"/>
                <w:sz w:val="21"/>
                <w:szCs w:val="21"/>
              </w:rPr>
              <w:t>火灾发生率为0                  0</w:t>
            </w:r>
          </w:p>
          <w:p>
            <w:pPr>
              <w:spacing w:line="360" w:lineRule="auto"/>
              <w:rPr>
                <w:rFonts w:hint="eastAsia" w:ascii="宋体" w:hAnsi="宋体" w:eastAsia="宋体" w:cs="宋体"/>
                <w:sz w:val="21"/>
                <w:szCs w:val="21"/>
              </w:rPr>
            </w:pPr>
            <w:r>
              <w:rPr>
                <w:rFonts w:hint="eastAsia" w:ascii="宋体" w:hAnsi="宋体" w:eastAsia="宋体" w:cs="宋体"/>
                <w:sz w:val="21"/>
                <w:szCs w:val="21"/>
              </w:rPr>
              <w:t>相关方影响率≥90%             100%</w:t>
            </w:r>
          </w:p>
          <w:p>
            <w:pPr>
              <w:spacing w:line="360" w:lineRule="auto"/>
              <w:rPr>
                <w:rFonts w:hint="eastAsia" w:ascii="宋体" w:hAnsi="宋体" w:eastAsia="宋体" w:cs="宋体"/>
                <w:sz w:val="21"/>
                <w:szCs w:val="21"/>
              </w:rPr>
            </w:pPr>
            <w:r>
              <w:rPr>
                <w:rFonts w:hint="eastAsia" w:ascii="宋体" w:hAnsi="宋体" w:eastAsia="宋体" w:cs="宋体"/>
                <w:sz w:val="21"/>
                <w:szCs w:val="21"/>
              </w:rPr>
              <w:t>抽目标——火灾发生率为0管理方案：</w:t>
            </w:r>
          </w:p>
          <w:p>
            <w:pPr>
              <w:spacing w:line="360" w:lineRule="auto"/>
              <w:rPr>
                <w:rFonts w:hint="eastAsia" w:ascii="宋体" w:hAnsi="宋体" w:eastAsia="宋体" w:cs="宋体"/>
                <w:sz w:val="21"/>
                <w:szCs w:val="21"/>
              </w:rPr>
            </w:pPr>
            <w:r>
              <w:rPr>
                <w:rFonts w:hint="eastAsia" w:ascii="宋体" w:hAnsi="宋体" w:eastAsia="宋体" w:cs="宋体"/>
                <w:sz w:val="21"/>
                <w:szCs w:val="21"/>
              </w:rPr>
              <w:t>1）下班时及时关闭办公设备电源，日常；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2）供销经理抽查电源的关闭情况，每月。</w:t>
            </w:r>
          </w:p>
          <w:p>
            <w:pPr>
              <w:spacing w:line="360" w:lineRule="auto"/>
              <w:rPr>
                <w:rFonts w:hint="eastAsia" w:ascii="宋体" w:hAnsi="宋体" w:eastAsia="宋体" w:cs="宋体"/>
                <w:sz w:val="21"/>
                <w:szCs w:val="21"/>
              </w:rPr>
            </w:pPr>
            <w:r>
              <w:rPr>
                <w:rFonts w:hint="eastAsia" w:ascii="宋体" w:hAnsi="宋体" w:eastAsia="宋体" w:cs="宋体"/>
                <w:sz w:val="21"/>
                <w:szCs w:val="21"/>
              </w:rPr>
              <w:t>3）禁烟，日常。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4）易燃材料限量采购，日常。</w:t>
            </w:r>
          </w:p>
          <w:p>
            <w:pPr>
              <w:spacing w:line="360" w:lineRule="auto"/>
              <w:rPr>
                <w:rFonts w:hint="eastAsia" w:ascii="宋体" w:hAnsi="宋体" w:eastAsia="宋体" w:cs="宋体"/>
                <w:sz w:val="21"/>
                <w:szCs w:val="21"/>
              </w:rPr>
            </w:pPr>
            <w:r>
              <w:rPr>
                <w:rFonts w:hint="eastAsia" w:ascii="宋体" w:hAnsi="宋体" w:eastAsia="宋体" w:cs="宋体"/>
                <w:sz w:val="21"/>
                <w:szCs w:val="21"/>
              </w:rPr>
              <w:t>5）配备灭火器材。</w:t>
            </w:r>
          </w:p>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6）向客户发放一封信</w:t>
            </w:r>
            <w:r>
              <w:rPr>
                <w:rFonts w:hint="eastAsia" w:ascii="宋体" w:hAnsi="宋体" w:eastAsia="宋体" w:cs="宋体"/>
                <w:sz w:val="21"/>
                <w:szCs w:val="21"/>
                <w:lang w:val="en-US" w:eastAsia="zh-CN"/>
              </w:rPr>
              <w:t>.</w:t>
            </w:r>
          </w:p>
          <w:p>
            <w:pPr>
              <w:pStyle w:val="11"/>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经查，已完成。</w:t>
            </w:r>
          </w:p>
          <w:p>
            <w:pPr>
              <w:pStyle w:val="11"/>
              <w:spacing w:line="360" w:lineRule="auto"/>
              <w:rPr>
                <w:rFonts w:hint="eastAsia" w:ascii="宋体" w:hAnsi="宋体" w:eastAsia="宋体" w:cs="宋体"/>
                <w:sz w:val="21"/>
                <w:szCs w:val="21"/>
                <w:lang w:eastAsia="zh-CN"/>
              </w:rPr>
            </w:pPr>
            <w:r>
              <w:rPr>
                <w:rFonts w:hint="eastAsia" w:ascii="宋体" w:hAnsi="宋体" w:eastAsia="宋体" w:cs="宋体"/>
                <w:sz w:val="21"/>
                <w:szCs w:val="21"/>
              </w:rPr>
              <w:t>统计人：</w:t>
            </w:r>
            <w:r>
              <w:rPr>
                <w:rFonts w:hint="eastAsia" w:ascii="宋体" w:hAnsi="宋体" w:cs="宋体"/>
                <w:sz w:val="21"/>
                <w:szCs w:val="21"/>
                <w:lang w:eastAsia="zh-CN"/>
              </w:rPr>
              <w:t>邵燕军</w:t>
            </w:r>
            <w:r>
              <w:rPr>
                <w:rFonts w:hint="eastAsia" w:ascii="宋体" w:hAnsi="宋体" w:eastAsia="宋体" w:cs="宋体"/>
                <w:sz w:val="21"/>
                <w:szCs w:val="21"/>
              </w:rPr>
              <w:t xml:space="preserve">     审核：</w:t>
            </w:r>
            <w:r>
              <w:rPr>
                <w:rFonts w:hint="eastAsia" w:ascii="宋体" w:hAnsi="宋体" w:eastAsia="宋体" w:cs="宋体"/>
                <w:sz w:val="21"/>
                <w:szCs w:val="21"/>
                <w:lang w:eastAsia="zh-CN"/>
              </w:rPr>
              <w:t>高伯招</w:t>
            </w:r>
            <w:r>
              <w:rPr>
                <w:rFonts w:hint="eastAsia" w:ascii="宋体" w:hAnsi="宋体" w:eastAsia="宋体" w:cs="宋体"/>
                <w:sz w:val="21"/>
                <w:szCs w:val="21"/>
              </w:rPr>
              <w:t xml:space="preserve">       批准：</w:t>
            </w:r>
            <w:r>
              <w:rPr>
                <w:rFonts w:hint="eastAsia" w:ascii="宋体" w:hAnsi="宋体" w:cs="宋体"/>
                <w:sz w:val="21"/>
                <w:szCs w:val="21"/>
                <w:lang w:eastAsia="zh-CN"/>
              </w:rPr>
              <w:t>堵泽军</w:t>
            </w:r>
            <w:r>
              <w:rPr>
                <w:rFonts w:hint="eastAsia" w:ascii="宋体" w:hAnsi="宋体" w:eastAsia="宋体" w:cs="宋体"/>
                <w:sz w:val="21"/>
                <w:szCs w:val="21"/>
              </w:rPr>
              <w:t xml:space="preserve">     日期：202</w:t>
            </w:r>
            <w:r>
              <w:rPr>
                <w:rFonts w:hint="eastAsia" w:ascii="宋体" w:hAnsi="宋体" w:eastAsia="宋体" w:cs="宋体"/>
                <w:sz w:val="21"/>
                <w:szCs w:val="21"/>
                <w:lang w:val="en-US" w:eastAsia="zh-CN"/>
              </w:rPr>
              <w:t>1</w:t>
            </w:r>
            <w:r>
              <w:rPr>
                <w:rFonts w:hint="eastAsia" w:ascii="宋体" w:hAnsi="宋体" w:eastAsia="宋体" w:cs="宋体"/>
                <w:sz w:val="21"/>
                <w:szCs w:val="21"/>
              </w:rPr>
              <w:t>年</w:t>
            </w:r>
            <w:r>
              <w:rPr>
                <w:rFonts w:hint="eastAsia" w:ascii="宋体" w:hAnsi="宋体" w:cs="宋体"/>
                <w:sz w:val="21"/>
                <w:szCs w:val="21"/>
                <w:lang w:val="en-US" w:eastAsia="zh-CN"/>
              </w:rPr>
              <w:t>3</w:t>
            </w:r>
            <w:r>
              <w:rPr>
                <w:rFonts w:hint="eastAsia" w:ascii="宋体" w:hAnsi="宋体" w:eastAsia="宋体" w:cs="宋体"/>
                <w:sz w:val="21"/>
                <w:szCs w:val="21"/>
              </w:rPr>
              <w:t>月</w:t>
            </w:r>
            <w:r>
              <w:rPr>
                <w:rFonts w:hint="eastAsia" w:ascii="宋体" w:hAnsi="宋体" w:cs="宋体"/>
                <w:sz w:val="21"/>
                <w:szCs w:val="21"/>
                <w:lang w:val="en-US" w:eastAsia="zh-CN"/>
              </w:rPr>
              <w:t>4</w:t>
            </w:r>
            <w:r>
              <w:rPr>
                <w:rFonts w:hint="eastAsia" w:ascii="宋体" w:hAnsi="宋体" w:eastAsia="宋体" w:cs="宋体"/>
                <w:sz w:val="21"/>
                <w:szCs w:val="21"/>
              </w:rPr>
              <w:t>日</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环境因素识别，危险源辨识、风险评估及控制措施</w:t>
            </w:r>
          </w:p>
        </w:tc>
        <w:tc>
          <w:tcPr>
            <w:tcW w:w="960" w:type="dxa"/>
            <w:vAlign w:val="top"/>
          </w:tcPr>
          <w:p>
            <w:pPr>
              <w:spacing w:line="360" w:lineRule="auto"/>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lang w:val="en-US" w:eastAsia="zh-CN"/>
              </w:rPr>
              <w:t>EO:6.1.2/6.1.4</w:t>
            </w:r>
          </w:p>
        </w:tc>
        <w:tc>
          <w:tcPr>
            <w:tcW w:w="10004" w:type="dxa"/>
            <w:vAlign w:val="top"/>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编制《</w:t>
            </w:r>
            <w:r>
              <w:rPr>
                <w:rFonts w:hint="eastAsia" w:ascii="宋体" w:hAnsi="宋体" w:cs="宋体"/>
                <w:sz w:val="21"/>
                <w:szCs w:val="21"/>
                <w:highlight w:val="none"/>
                <w:lang w:val="en-US" w:eastAsia="zh-CN"/>
              </w:rPr>
              <w:t>环境因素危险源识别评价控制程序</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风险和机遇应对控制程序</w:t>
            </w:r>
            <w:r>
              <w:rPr>
                <w:rFonts w:hint="eastAsia" w:ascii="宋体" w:hAnsi="宋体" w:eastAsia="宋体" w:cs="宋体"/>
                <w:sz w:val="21"/>
                <w:szCs w:val="21"/>
                <w:highlight w:val="none"/>
                <w:lang w:val="en-US" w:eastAsia="zh-CN"/>
              </w:rPr>
              <w:t>》等程序，按照相关程序执行。</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提供《环境因素识别排查表》识别了</w:t>
            </w:r>
            <w:r>
              <w:rPr>
                <w:rFonts w:hint="eastAsia" w:ascii="宋体" w:hAnsi="宋体" w:cs="宋体"/>
                <w:szCs w:val="21"/>
                <w:lang w:eastAsia="zh-CN"/>
              </w:rPr>
              <w:t>高性能轻质玻化陶瓷制品的销售</w:t>
            </w:r>
            <w:r>
              <w:rPr>
                <w:rFonts w:hint="eastAsia" w:ascii="宋体" w:hAnsi="宋体" w:eastAsia="宋体" w:cs="宋体"/>
                <w:szCs w:val="21"/>
              </w:rPr>
              <w:t>过程</w:t>
            </w:r>
            <w:r>
              <w:rPr>
                <w:rFonts w:hint="eastAsia" w:ascii="宋体" w:hAnsi="宋体" w:eastAsia="宋体" w:cs="宋体"/>
                <w:szCs w:val="21"/>
                <w:lang w:val="en-US" w:eastAsia="zh-CN"/>
              </w:rPr>
              <w:t>等</w:t>
            </w:r>
            <w:r>
              <w:rPr>
                <w:rFonts w:hint="eastAsia" w:ascii="宋体" w:hAnsi="宋体" w:eastAsia="宋体" w:cs="宋体"/>
                <w:sz w:val="21"/>
                <w:szCs w:val="21"/>
                <w:highlight w:val="none"/>
                <w:lang w:val="en-US" w:eastAsia="zh-CN"/>
              </w:rPr>
              <w:t>环境因素包括：</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Cs w:val="21"/>
                <w:lang w:val="en-US" w:eastAsia="zh-CN"/>
              </w:rPr>
              <w:t>水的消耗、电的消耗、办公用品的消耗、汽车尾气的排放、生活垃圾的排放、纸箱、包装物的废弃物等；</w:t>
            </w:r>
          </w:p>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Cs w:val="21"/>
                <w:lang w:val="en-US" w:eastAsia="zh-CN"/>
              </w:rPr>
              <w:t>提供《重要环境因素清单》2项，包括固废排放（材料包装物废弃、办公垃圾等）、火灾（</w:t>
            </w:r>
            <w:r>
              <w:rPr>
                <w:rFonts w:hint="eastAsia" w:ascii="宋体" w:hAnsi="宋体" w:eastAsia="宋体" w:cs="宋体"/>
                <w:szCs w:val="21"/>
              </w:rPr>
              <w:t>办公</w:t>
            </w:r>
            <w:r>
              <w:rPr>
                <w:rFonts w:hint="eastAsia" w:ascii="宋体" w:hAnsi="宋体" w:eastAsia="宋体" w:cs="宋体"/>
                <w:szCs w:val="21"/>
                <w:lang w:val="en-US" w:eastAsia="zh-CN"/>
              </w:rPr>
              <w:t>过程潜在火灾的发生）</w:t>
            </w:r>
            <w:r>
              <w:rPr>
                <w:rFonts w:hint="eastAsia" w:ascii="宋体" w:hAnsi="宋体" w:eastAsia="宋体" w:cs="宋体"/>
                <w:color w:val="auto"/>
                <w:sz w:val="21"/>
                <w:szCs w:val="21"/>
                <w:highlight w:val="none"/>
                <w:lang w:val="en-US" w:eastAsia="zh-CN"/>
              </w:rPr>
              <w:t>。</w:t>
            </w:r>
          </w:p>
          <w:p>
            <w:pPr>
              <w:pStyle w:val="11"/>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提供《危险源辨识与风险评价》，识别了</w:t>
            </w:r>
            <w:r>
              <w:rPr>
                <w:rFonts w:hint="eastAsia" w:ascii="宋体" w:hAnsi="宋体" w:cs="宋体"/>
                <w:szCs w:val="21"/>
                <w:lang w:eastAsia="zh-CN"/>
              </w:rPr>
              <w:t>高性能轻质玻化陶瓷制品的销售</w:t>
            </w:r>
            <w:r>
              <w:rPr>
                <w:rFonts w:hint="eastAsia" w:ascii="宋体" w:hAnsi="宋体" w:eastAsia="宋体" w:cs="宋体"/>
                <w:szCs w:val="21"/>
                <w:lang w:val="en-US" w:eastAsia="zh-CN"/>
              </w:rPr>
              <w:t>等</w:t>
            </w:r>
            <w:r>
              <w:rPr>
                <w:rFonts w:hint="eastAsia" w:ascii="宋体" w:hAnsi="宋体" w:eastAsia="宋体" w:cs="宋体"/>
                <w:sz w:val="21"/>
                <w:szCs w:val="21"/>
                <w:highlight w:val="none"/>
                <w:lang w:val="en-US" w:eastAsia="zh-CN"/>
              </w:rPr>
              <w:t>危险源，抽查如下：线路短路/易燃物遇明火</w:t>
            </w:r>
            <w:r>
              <w:rPr>
                <w:rFonts w:hint="eastAsia" w:ascii="宋体" w:hAnsi="宋体" w:eastAsia="宋体" w:cs="宋体"/>
                <w:sz w:val="21"/>
                <w:szCs w:val="21"/>
                <w:highlight w:val="none"/>
                <w:lang w:val="en-US" w:eastAsia="zh-CN"/>
              </w:rPr>
              <w:tab/>
            </w:r>
            <w:r>
              <w:rPr>
                <w:rFonts w:hint="eastAsia" w:ascii="宋体" w:hAnsi="宋体" w:eastAsia="宋体" w:cs="宋体"/>
                <w:sz w:val="21"/>
                <w:szCs w:val="21"/>
                <w:highlight w:val="none"/>
                <w:lang w:val="en-US" w:eastAsia="zh-CN"/>
              </w:rPr>
              <w:t>引起火灾、意外交通事故等。见《不可接受危险源清单》，火灾伤害、意外交通事故。</w:t>
            </w:r>
          </w:p>
          <w:p>
            <w:pPr>
              <w:pStyle w:val="11"/>
              <w:spacing w:line="360" w:lineRule="auto"/>
              <w:rPr>
                <w:rFonts w:hint="eastAsia" w:ascii="宋体" w:hAnsi="宋体" w:eastAsia="宋体" w:cs="宋体"/>
                <w:bCs/>
                <w:spacing w:val="10"/>
                <w:kern w:val="2"/>
                <w:sz w:val="21"/>
                <w:szCs w:val="21"/>
                <w:highlight w:val="none"/>
                <w:lang w:val="en-US" w:eastAsia="zh-CN" w:bidi="ar-SA"/>
              </w:rPr>
            </w:pPr>
            <w:r>
              <w:rPr>
                <w:rFonts w:hint="eastAsia" w:ascii="宋体" w:hAnsi="宋体" w:eastAsia="宋体" w:cs="宋体"/>
                <w:bCs w:val="0"/>
                <w:spacing w:val="0"/>
                <w:kern w:val="2"/>
                <w:sz w:val="21"/>
                <w:szCs w:val="21"/>
                <w:highlight w:val="none"/>
                <w:lang w:val="en-US" w:eastAsia="zh-CN" w:bidi="ar-SA"/>
              </w:rPr>
              <w:t>以上重要环境因素清单、重要危险因素清单中制定了针对性控制措施，措施基本有效。</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1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运行策划和控制</w:t>
            </w:r>
          </w:p>
        </w:tc>
        <w:tc>
          <w:tcPr>
            <w:tcW w:w="960" w:type="dxa"/>
            <w:vAlign w:val="center"/>
          </w:tcPr>
          <w:p>
            <w:p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bCs/>
                <w:sz w:val="21"/>
                <w:szCs w:val="21"/>
              </w:rPr>
              <w:t>E</w:t>
            </w:r>
            <w:r>
              <w:rPr>
                <w:rFonts w:hint="eastAsia" w:ascii="宋体" w:hAnsi="宋体" w:eastAsia="宋体" w:cs="宋体"/>
                <w:bCs/>
                <w:sz w:val="21"/>
                <w:szCs w:val="21"/>
                <w:lang w:val="en-US" w:eastAsia="zh-CN"/>
              </w:rPr>
              <w:t>O</w:t>
            </w:r>
            <w:r>
              <w:rPr>
                <w:rFonts w:hint="eastAsia" w:ascii="宋体" w:hAnsi="宋体" w:eastAsia="宋体" w:cs="宋体"/>
                <w:sz w:val="21"/>
                <w:szCs w:val="21"/>
              </w:rPr>
              <w:t xml:space="preserve">8.1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本部门应执行的运行控制文件包括：产品销售过程控制程序、环境、职业健康安全运行控制程序、与顾客有关过程控制程序等。</w:t>
            </w:r>
          </w:p>
          <w:p>
            <w:pPr>
              <w:spacing w:line="360" w:lineRule="auto"/>
              <w:rPr>
                <w:rFonts w:hint="eastAsia" w:ascii="宋体" w:hAnsi="宋体" w:eastAsia="宋体" w:cs="宋体"/>
                <w:sz w:val="21"/>
                <w:szCs w:val="21"/>
              </w:rPr>
            </w:pPr>
            <w:r>
              <w:rPr>
                <w:rFonts w:hint="eastAsia" w:ascii="宋体" w:hAnsi="宋体" w:eastAsia="宋体" w:cs="宋体"/>
                <w:sz w:val="21"/>
                <w:szCs w:val="21"/>
              </w:rPr>
              <w:t>查运行控制情况：</w:t>
            </w:r>
          </w:p>
          <w:p>
            <w:pPr>
              <w:spacing w:line="360" w:lineRule="auto"/>
              <w:rPr>
                <w:rFonts w:hint="eastAsia" w:ascii="宋体" w:hAnsi="宋体" w:eastAsia="宋体" w:cs="宋体"/>
                <w:sz w:val="21"/>
                <w:szCs w:val="21"/>
              </w:rPr>
            </w:pPr>
            <w:r>
              <w:rPr>
                <w:rFonts w:hint="eastAsia" w:ascii="宋体" w:hAnsi="宋体" w:eastAsia="宋体" w:cs="宋体"/>
                <w:sz w:val="21"/>
                <w:szCs w:val="21"/>
              </w:rPr>
              <w:t>办公过程注意节约用电，供销部做到人走灯灭，电脑长时间不用时关机，下班前要关闭电源；</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办公过程产生的固废按办公室要求放到指定地点，现场查看无混放现象；办公用品按要求由办公室负责发放，作好记录； </w:t>
            </w:r>
          </w:p>
          <w:p>
            <w:pPr>
              <w:spacing w:line="360" w:lineRule="auto"/>
              <w:rPr>
                <w:rFonts w:hint="eastAsia" w:ascii="宋体" w:hAnsi="宋体" w:eastAsia="宋体" w:cs="宋体"/>
                <w:sz w:val="21"/>
                <w:szCs w:val="21"/>
              </w:rPr>
            </w:pPr>
            <w:r>
              <w:rPr>
                <w:rFonts w:hint="eastAsia" w:ascii="宋体" w:hAnsi="宋体" w:eastAsia="宋体" w:cs="宋体"/>
                <w:sz w:val="21"/>
                <w:szCs w:val="21"/>
              </w:rPr>
              <w:t>工作时间平均每天不超过8小时，公司为员工办理了意外伤害等保险；</w:t>
            </w:r>
          </w:p>
          <w:p>
            <w:pPr>
              <w:spacing w:line="360" w:lineRule="auto"/>
              <w:rPr>
                <w:rFonts w:hint="eastAsia" w:ascii="宋体" w:hAnsi="宋体" w:eastAsia="宋体" w:cs="宋体"/>
                <w:sz w:val="21"/>
                <w:szCs w:val="21"/>
              </w:rPr>
            </w:pPr>
            <w:r>
              <w:rPr>
                <w:rFonts w:hint="eastAsia" w:ascii="宋体" w:hAnsi="宋体" w:eastAsia="宋体" w:cs="宋体"/>
                <w:sz w:val="21"/>
                <w:szCs w:val="21"/>
              </w:rPr>
              <w:t>外出办公要求遵守道路交通安全法，不违章行驶，驾驶证和车辆定期年审，确保出行安全；</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提供了致相关方的一封信，通过建议书告知各位来访人员公司有关安全方面应注意的事项及相关规定。有发放记录。提供相关方安全管理协议。</w:t>
            </w:r>
          </w:p>
          <w:p>
            <w:pPr>
              <w:spacing w:line="360" w:lineRule="auto"/>
              <w:rPr>
                <w:rFonts w:hint="eastAsia" w:ascii="宋体" w:hAnsi="宋体" w:eastAsia="宋体" w:cs="宋体"/>
                <w:sz w:val="21"/>
                <w:szCs w:val="21"/>
              </w:rPr>
            </w:pPr>
            <w:r>
              <w:rPr>
                <w:rFonts w:hint="eastAsia" w:ascii="宋体" w:hAnsi="宋体" w:eastAsia="宋体" w:cs="宋体"/>
                <w:sz w:val="21"/>
                <w:szCs w:val="21"/>
              </w:rPr>
              <w:t>在与顾客沟通和招投标时，通过选择适当时机向顾客宣传本公司的职业健康安全的方针理念以及本公司的具体做法、成绩等，向顾客施加职业健康安全的影响，增强顾客对本公司的信任程度。</w:t>
            </w:r>
          </w:p>
          <w:p>
            <w:pPr>
              <w:spacing w:line="360" w:lineRule="auto"/>
              <w:rPr>
                <w:rFonts w:hint="eastAsia" w:ascii="宋体" w:hAnsi="宋体" w:eastAsia="宋体" w:cs="宋体"/>
                <w:sz w:val="21"/>
                <w:szCs w:val="21"/>
              </w:rPr>
            </w:pPr>
            <w:r>
              <w:rPr>
                <w:rFonts w:hint="eastAsia" w:ascii="宋体" w:hAnsi="宋体" w:eastAsia="宋体" w:cs="宋体"/>
                <w:sz w:val="21"/>
                <w:szCs w:val="21"/>
              </w:rPr>
              <w:t>提供“需要重点施加影响的相关方一览表”，包括原材料供方、外包方、客户等。</w:t>
            </w:r>
          </w:p>
          <w:p>
            <w:pPr>
              <w:spacing w:line="360" w:lineRule="auto"/>
              <w:rPr>
                <w:rFonts w:hint="eastAsia" w:ascii="宋体" w:hAnsi="宋体" w:eastAsia="宋体" w:cs="宋体"/>
                <w:bCs w:val="0"/>
                <w:spacing w:val="0"/>
                <w:kern w:val="2"/>
                <w:sz w:val="21"/>
                <w:szCs w:val="21"/>
                <w:highlight w:val="none"/>
                <w:lang w:val="en-US" w:eastAsia="zh-CN" w:bidi="ar-SA"/>
              </w:rPr>
            </w:pPr>
            <w:r>
              <w:rPr>
                <w:rFonts w:hint="eastAsia" w:ascii="宋体" w:hAnsi="宋体" w:eastAsia="宋体" w:cs="宋体"/>
                <w:sz w:val="21"/>
                <w:szCs w:val="21"/>
              </w:rPr>
              <w:t>现场查看办公室设备、电器状态良好，配置了灭火器，无火灾、触电隐患，废弃物无混放现象。</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60" w:type="dxa"/>
            <w:vAlign w:val="center"/>
          </w:tcPr>
          <w:p>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rPr>
              <w:t>应急准备和响应</w:t>
            </w:r>
          </w:p>
          <w:p>
            <w:pPr>
              <w:spacing w:line="360" w:lineRule="auto"/>
              <w:rPr>
                <w:rFonts w:hint="eastAsia" w:ascii="宋体" w:hAnsi="宋体" w:eastAsia="宋体" w:cs="宋体"/>
                <w:color w:val="auto"/>
                <w:sz w:val="21"/>
                <w:szCs w:val="21"/>
                <w:highlight w:val="none"/>
                <w:lang w:val="en-US" w:eastAsia="zh-CN"/>
              </w:rPr>
            </w:pPr>
          </w:p>
        </w:tc>
        <w:tc>
          <w:tcPr>
            <w:tcW w:w="960" w:type="dxa"/>
            <w:vAlign w:val="top"/>
          </w:tcPr>
          <w:p>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E</w:t>
            </w:r>
            <w:r>
              <w:rPr>
                <w:rFonts w:hint="eastAsia" w:ascii="宋体" w:hAnsi="宋体" w:eastAsia="宋体" w:cs="宋体"/>
                <w:bCs/>
                <w:color w:val="auto"/>
                <w:sz w:val="21"/>
                <w:szCs w:val="21"/>
                <w:lang w:val="en-US" w:eastAsia="zh-CN"/>
              </w:rPr>
              <w:t>O</w:t>
            </w:r>
            <w:r>
              <w:rPr>
                <w:rFonts w:hint="eastAsia" w:ascii="宋体" w:hAnsi="宋体" w:eastAsia="宋体" w:cs="宋体"/>
                <w:bCs/>
                <w:color w:val="auto"/>
                <w:sz w:val="21"/>
                <w:szCs w:val="21"/>
              </w:rPr>
              <w:t>：</w:t>
            </w:r>
            <w:r>
              <w:rPr>
                <w:rFonts w:hint="eastAsia" w:ascii="宋体" w:hAnsi="宋体" w:eastAsia="宋体" w:cs="宋体"/>
                <w:color w:val="auto"/>
                <w:sz w:val="21"/>
                <w:szCs w:val="21"/>
              </w:rPr>
              <w:t>8.2</w:t>
            </w:r>
          </w:p>
          <w:p>
            <w:pPr>
              <w:spacing w:line="360" w:lineRule="auto"/>
              <w:rPr>
                <w:rFonts w:hint="eastAsia" w:ascii="宋体" w:hAnsi="宋体" w:eastAsia="宋体" w:cs="宋体"/>
                <w:bCs/>
                <w:color w:val="auto"/>
                <w:sz w:val="21"/>
                <w:szCs w:val="21"/>
              </w:rPr>
            </w:pPr>
          </w:p>
          <w:p>
            <w:pPr>
              <w:spacing w:line="360" w:lineRule="auto"/>
              <w:rPr>
                <w:rFonts w:hint="eastAsia" w:ascii="宋体" w:hAnsi="宋体" w:eastAsia="宋体" w:cs="宋体"/>
                <w:color w:val="auto"/>
                <w:sz w:val="21"/>
                <w:szCs w:val="21"/>
                <w:highlight w:val="none"/>
                <w:lang w:val="en-US" w:eastAsia="zh-CN"/>
              </w:rPr>
            </w:pPr>
          </w:p>
        </w:tc>
        <w:tc>
          <w:tcPr>
            <w:tcW w:w="10004" w:type="dxa"/>
            <w:vAlign w:val="top"/>
          </w:tcPr>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提供了《应急准备和响应控制程序》、《消防安全应急预案》，其中包括目的、适用范围、职责、应急领导小组成员职责、程序、现场应急措施等，相关内容基本充分。</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2"/>
              </w:rPr>
              <w:t>查消防灭火演练，</w:t>
            </w:r>
            <w:r>
              <w:rPr>
                <w:rFonts w:hint="eastAsia" w:ascii="宋体" w:hAnsi="宋体" w:cs="宋体"/>
                <w:color w:val="auto"/>
                <w:szCs w:val="22"/>
                <w:lang w:val="en-US" w:eastAsia="zh-CN"/>
              </w:rPr>
              <w:t>供销部参加了火灾事故应急</w:t>
            </w:r>
            <w:r>
              <w:rPr>
                <w:rFonts w:hint="eastAsia" w:ascii="宋体" w:hAnsi="宋体" w:eastAsia="宋体" w:cs="宋体"/>
                <w:color w:val="auto"/>
                <w:szCs w:val="22"/>
              </w:rPr>
              <w:t>演练</w:t>
            </w:r>
            <w:r>
              <w:rPr>
                <w:rFonts w:hint="eastAsia" w:ascii="宋体" w:hAnsi="宋体" w:cs="宋体"/>
                <w:color w:val="auto"/>
                <w:szCs w:val="22"/>
                <w:lang w:eastAsia="zh-CN"/>
              </w:rPr>
              <w:t>，</w:t>
            </w:r>
            <w:r>
              <w:rPr>
                <w:rFonts w:hint="eastAsia" w:ascii="Times New Roman" w:hAnsi="Times New Roman" w:eastAsia="宋体" w:cs="Times New Roman"/>
                <w:color w:val="auto"/>
                <w:szCs w:val="22"/>
              </w:rPr>
              <w:t>时间202</w:t>
            </w:r>
            <w:r>
              <w:rPr>
                <w:rFonts w:hint="eastAsia" w:cs="Times New Roman"/>
                <w:color w:val="auto"/>
                <w:szCs w:val="22"/>
                <w:lang w:val="en-US" w:eastAsia="zh-CN"/>
              </w:rPr>
              <w:t>1</w:t>
            </w:r>
            <w:r>
              <w:rPr>
                <w:rFonts w:hint="eastAsia" w:ascii="Times New Roman" w:hAnsi="Times New Roman" w:eastAsia="宋体" w:cs="Times New Roman"/>
                <w:color w:val="auto"/>
                <w:szCs w:val="22"/>
              </w:rPr>
              <w:t>年</w:t>
            </w:r>
            <w:r>
              <w:rPr>
                <w:rFonts w:hint="eastAsia" w:cs="Times New Roman"/>
                <w:color w:val="auto"/>
                <w:szCs w:val="22"/>
                <w:lang w:val="en-US" w:eastAsia="zh-CN"/>
              </w:rPr>
              <w:t>4</w:t>
            </w:r>
            <w:r>
              <w:rPr>
                <w:rFonts w:hint="eastAsia" w:ascii="Times New Roman" w:hAnsi="Times New Roman" w:eastAsia="宋体" w:cs="Times New Roman"/>
                <w:color w:val="auto"/>
                <w:szCs w:val="22"/>
              </w:rPr>
              <w:t>月1</w:t>
            </w:r>
            <w:r>
              <w:rPr>
                <w:rFonts w:hint="eastAsia" w:cs="Times New Roman"/>
                <w:color w:val="auto"/>
                <w:szCs w:val="22"/>
                <w:lang w:val="en-US" w:eastAsia="zh-CN"/>
              </w:rPr>
              <w:t>5</w:t>
            </w:r>
            <w:r>
              <w:rPr>
                <w:rFonts w:hint="eastAsia" w:ascii="Times New Roman" w:hAnsi="Times New Roman" w:eastAsia="宋体" w:cs="Times New Roman"/>
                <w:color w:val="auto"/>
                <w:szCs w:val="22"/>
              </w:rPr>
              <w:t>日下午</w:t>
            </w:r>
            <w:r>
              <w:rPr>
                <w:rFonts w:hint="eastAsia" w:cs="Times New Roman"/>
                <w:color w:val="auto"/>
                <w:szCs w:val="22"/>
                <w:lang w:val="en-US" w:eastAsia="zh-CN"/>
              </w:rPr>
              <w:t>14：30-16：00</w:t>
            </w:r>
            <w:r>
              <w:rPr>
                <w:rFonts w:hint="eastAsia" w:ascii="宋体" w:hAnsi="宋体" w:eastAsia="宋体" w:cs="宋体"/>
                <w:color w:val="auto"/>
                <w:szCs w:val="22"/>
              </w:rPr>
              <w:t>，地点</w:t>
            </w:r>
            <w:r>
              <w:rPr>
                <w:rFonts w:hint="eastAsia" w:ascii="宋体" w:hAnsi="宋体" w:eastAsia="宋体" w:cs="宋体"/>
                <w:color w:val="auto"/>
                <w:szCs w:val="22"/>
                <w:lang w:val="en-US" w:eastAsia="zh-CN"/>
              </w:rPr>
              <w:t>在厂区内</w:t>
            </w:r>
            <w:r>
              <w:rPr>
                <w:rFonts w:hint="eastAsia" w:ascii="宋体" w:hAnsi="宋体" w:eastAsia="宋体" w:cs="宋体"/>
                <w:color w:val="auto"/>
                <w:szCs w:val="22"/>
              </w:rPr>
              <w:t>，对演练过程进行了描述，并对预案的有效性进</w:t>
            </w:r>
            <w:r>
              <w:rPr>
                <w:rFonts w:hint="eastAsia" w:ascii="宋体" w:hAnsi="宋体" w:eastAsia="宋体" w:cs="宋体"/>
                <w:color w:val="auto"/>
              </w:rPr>
              <w:t>行了评价。目前未发生火灾、人身伤害等事故。</w:t>
            </w:r>
            <w:r>
              <w:rPr>
                <w:rFonts w:hint="eastAsia" w:ascii="宋体" w:hAnsi="宋体" w:eastAsia="宋体" w:cs="宋体"/>
                <w:color w:val="auto"/>
                <w:szCs w:val="21"/>
              </w:rPr>
              <w:t>现场查看</w:t>
            </w:r>
            <w:r>
              <w:rPr>
                <w:rFonts w:hint="eastAsia" w:ascii="宋体" w:hAnsi="宋体" w:eastAsia="宋体" w:cs="宋体"/>
                <w:color w:val="auto"/>
                <w:szCs w:val="21"/>
                <w:lang w:val="en-US" w:eastAsia="zh-CN"/>
              </w:rPr>
              <w:t>办公区</w:t>
            </w:r>
            <w:r>
              <w:rPr>
                <w:rFonts w:hint="eastAsia" w:ascii="宋体" w:hAnsi="宋体" w:eastAsia="宋体" w:cs="宋体"/>
                <w:color w:val="auto"/>
                <w:szCs w:val="21"/>
              </w:rPr>
              <w:t>有消防栓和灭火器若干个，状态良好。</w:t>
            </w:r>
          </w:p>
          <w:p>
            <w:pPr>
              <w:spacing w:line="360" w:lineRule="auto"/>
              <w:ind w:firstLine="420" w:firstLineChars="200"/>
              <w:rPr>
                <w:rFonts w:hint="eastAsia" w:ascii="宋体" w:hAnsi="宋体" w:eastAsia="宋体" w:cs="宋体"/>
                <w:bCs w:val="0"/>
                <w:color w:val="auto"/>
                <w:spacing w:val="0"/>
                <w:kern w:val="2"/>
                <w:sz w:val="21"/>
                <w:szCs w:val="21"/>
                <w:highlight w:val="none"/>
                <w:lang w:val="en-US" w:eastAsia="zh-CN" w:bidi="ar-SA"/>
              </w:rPr>
            </w:pPr>
            <w:r>
              <w:rPr>
                <w:rFonts w:hint="eastAsia" w:ascii="宋体" w:hAnsi="宋体" w:eastAsia="宋体" w:cs="宋体"/>
                <w:color w:val="auto"/>
                <w:szCs w:val="21"/>
              </w:rPr>
              <w:t>自体系运行以来未发生应急情况。</w:t>
            </w:r>
          </w:p>
        </w:tc>
        <w:tc>
          <w:tcPr>
            <w:tcW w:w="1585" w:type="dxa"/>
          </w:tcPr>
          <w:p>
            <w:pPr>
              <w:spacing w:line="360" w:lineRule="auto"/>
              <w:rPr>
                <w:rFonts w:hint="eastAsia" w:ascii="宋体" w:hAnsi="宋体" w:eastAsia="宋体" w:cs="宋体"/>
              </w:rPr>
            </w:pPr>
            <w:r>
              <w:rPr>
                <w:rFonts w:hint="eastAsia" w:ascii="宋体" w:hAnsi="宋体" w:eastAsia="宋体" w:cs="宋体"/>
              </w:rPr>
              <w:t>Y</w:t>
            </w:r>
          </w:p>
        </w:tc>
      </w:tr>
    </w:tbl>
    <w:p/>
    <w:p>
      <w:pPr>
        <w:pStyle w:val="7"/>
        <w:rPr>
          <w:rFonts w:hint="eastAsia"/>
        </w:rPr>
      </w:pPr>
      <w:r>
        <w:rPr>
          <w:rFonts w:hint="eastAsia"/>
        </w:rPr>
        <w:t>说明：不符合标注N</w:t>
      </w:r>
    </w:p>
    <w:p>
      <w:pPr>
        <w:rPr>
          <w:rFonts w:hint="eastAsia"/>
        </w:rPr>
      </w:pP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9AC"/>
    <w:rsid w:val="000B7900"/>
    <w:rsid w:val="000D6436"/>
    <w:rsid w:val="001032CB"/>
    <w:rsid w:val="001538EB"/>
    <w:rsid w:val="001541DA"/>
    <w:rsid w:val="001A2755"/>
    <w:rsid w:val="001E2BA0"/>
    <w:rsid w:val="002D1F1C"/>
    <w:rsid w:val="00376607"/>
    <w:rsid w:val="003852FD"/>
    <w:rsid w:val="00411CE7"/>
    <w:rsid w:val="0044635D"/>
    <w:rsid w:val="00477697"/>
    <w:rsid w:val="004B16A6"/>
    <w:rsid w:val="004E08A4"/>
    <w:rsid w:val="00500C21"/>
    <w:rsid w:val="005E51DA"/>
    <w:rsid w:val="005F58CE"/>
    <w:rsid w:val="006350F0"/>
    <w:rsid w:val="0066443D"/>
    <w:rsid w:val="0068005C"/>
    <w:rsid w:val="006C3B64"/>
    <w:rsid w:val="006E7A70"/>
    <w:rsid w:val="007420C5"/>
    <w:rsid w:val="007536EE"/>
    <w:rsid w:val="007B1A3B"/>
    <w:rsid w:val="007F5845"/>
    <w:rsid w:val="00802252"/>
    <w:rsid w:val="00834B09"/>
    <w:rsid w:val="00893291"/>
    <w:rsid w:val="008E0C8E"/>
    <w:rsid w:val="008E45B6"/>
    <w:rsid w:val="0094266C"/>
    <w:rsid w:val="00954EA8"/>
    <w:rsid w:val="009B7866"/>
    <w:rsid w:val="009C3AF7"/>
    <w:rsid w:val="00A07938"/>
    <w:rsid w:val="00A3276E"/>
    <w:rsid w:val="00AA2D83"/>
    <w:rsid w:val="00AB7281"/>
    <w:rsid w:val="00B01EF6"/>
    <w:rsid w:val="00B325A1"/>
    <w:rsid w:val="00BB5BDD"/>
    <w:rsid w:val="00BB6546"/>
    <w:rsid w:val="00BE0E37"/>
    <w:rsid w:val="00BF540D"/>
    <w:rsid w:val="00C23315"/>
    <w:rsid w:val="00C343F0"/>
    <w:rsid w:val="00CB6525"/>
    <w:rsid w:val="00D5752A"/>
    <w:rsid w:val="00DD4B80"/>
    <w:rsid w:val="00E113F1"/>
    <w:rsid w:val="00E238F5"/>
    <w:rsid w:val="00E345F7"/>
    <w:rsid w:val="00E412FC"/>
    <w:rsid w:val="00E5540F"/>
    <w:rsid w:val="00EA5F93"/>
    <w:rsid w:val="00EF3EBB"/>
    <w:rsid w:val="00F13AB9"/>
    <w:rsid w:val="00F66D86"/>
    <w:rsid w:val="00F67463"/>
    <w:rsid w:val="00F922A5"/>
    <w:rsid w:val="00FB75CB"/>
    <w:rsid w:val="00FD12F5"/>
    <w:rsid w:val="00FD6519"/>
    <w:rsid w:val="01AE0794"/>
    <w:rsid w:val="03026357"/>
    <w:rsid w:val="03805CB1"/>
    <w:rsid w:val="045B4895"/>
    <w:rsid w:val="04963E1F"/>
    <w:rsid w:val="04E0227F"/>
    <w:rsid w:val="066A52E1"/>
    <w:rsid w:val="06A70311"/>
    <w:rsid w:val="07071325"/>
    <w:rsid w:val="07CD28F3"/>
    <w:rsid w:val="07F43C4A"/>
    <w:rsid w:val="09A62AA4"/>
    <w:rsid w:val="09F05A95"/>
    <w:rsid w:val="0A4D7E01"/>
    <w:rsid w:val="0AD10AA7"/>
    <w:rsid w:val="0B2456A1"/>
    <w:rsid w:val="0D892380"/>
    <w:rsid w:val="0EA7001F"/>
    <w:rsid w:val="100862E1"/>
    <w:rsid w:val="10C02EF3"/>
    <w:rsid w:val="10FF34E9"/>
    <w:rsid w:val="11EE1116"/>
    <w:rsid w:val="11F74BE6"/>
    <w:rsid w:val="12AB025C"/>
    <w:rsid w:val="13175849"/>
    <w:rsid w:val="13AD15CE"/>
    <w:rsid w:val="140E64FD"/>
    <w:rsid w:val="141E15F7"/>
    <w:rsid w:val="14460C11"/>
    <w:rsid w:val="153A570D"/>
    <w:rsid w:val="15CB40D6"/>
    <w:rsid w:val="16374372"/>
    <w:rsid w:val="169366B0"/>
    <w:rsid w:val="176A68CC"/>
    <w:rsid w:val="17701BC9"/>
    <w:rsid w:val="18170ED9"/>
    <w:rsid w:val="196355F1"/>
    <w:rsid w:val="19B12C49"/>
    <w:rsid w:val="19D94788"/>
    <w:rsid w:val="1BF2082C"/>
    <w:rsid w:val="1DDF39F3"/>
    <w:rsid w:val="1DF56417"/>
    <w:rsid w:val="1E362801"/>
    <w:rsid w:val="1F444ECA"/>
    <w:rsid w:val="1F906D4E"/>
    <w:rsid w:val="212A4823"/>
    <w:rsid w:val="218B3026"/>
    <w:rsid w:val="21FF454E"/>
    <w:rsid w:val="22906815"/>
    <w:rsid w:val="229B7AE6"/>
    <w:rsid w:val="237F0888"/>
    <w:rsid w:val="23A57353"/>
    <w:rsid w:val="240D3AB2"/>
    <w:rsid w:val="24C53B7B"/>
    <w:rsid w:val="24FD57A9"/>
    <w:rsid w:val="2543337E"/>
    <w:rsid w:val="255A159D"/>
    <w:rsid w:val="264C6A8A"/>
    <w:rsid w:val="2671551B"/>
    <w:rsid w:val="273B18FA"/>
    <w:rsid w:val="27D53945"/>
    <w:rsid w:val="27EC6D1F"/>
    <w:rsid w:val="289B00F7"/>
    <w:rsid w:val="29136238"/>
    <w:rsid w:val="2C145D33"/>
    <w:rsid w:val="2C412613"/>
    <w:rsid w:val="2C503195"/>
    <w:rsid w:val="2C5123E1"/>
    <w:rsid w:val="2CA0042F"/>
    <w:rsid w:val="2CA51642"/>
    <w:rsid w:val="2CCD1E74"/>
    <w:rsid w:val="2D04149E"/>
    <w:rsid w:val="2D766A69"/>
    <w:rsid w:val="2DC50188"/>
    <w:rsid w:val="2DD93D4C"/>
    <w:rsid w:val="2E290581"/>
    <w:rsid w:val="2E567596"/>
    <w:rsid w:val="2EE84CA6"/>
    <w:rsid w:val="2F121C50"/>
    <w:rsid w:val="2FDD746B"/>
    <w:rsid w:val="300E183B"/>
    <w:rsid w:val="30441C7B"/>
    <w:rsid w:val="30B94371"/>
    <w:rsid w:val="30F53570"/>
    <w:rsid w:val="3323734B"/>
    <w:rsid w:val="33524A35"/>
    <w:rsid w:val="338865FB"/>
    <w:rsid w:val="339D2477"/>
    <w:rsid w:val="33F864F0"/>
    <w:rsid w:val="342917CB"/>
    <w:rsid w:val="34750347"/>
    <w:rsid w:val="34F73F3A"/>
    <w:rsid w:val="35072736"/>
    <w:rsid w:val="35D211CE"/>
    <w:rsid w:val="36AD08CD"/>
    <w:rsid w:val="37355DF2"/>
    <w:rsid w:val="38145767"/>
    <w:rsid w:val="39060B0C"/>
    <w:rsid w:val="3A530EAF"/>
    <w:rsid w:val="3ACD53C1"/>
    <w:rsid w:val="3B450195"/>
    <w:rsid w:val="3B55646E"/>
    <w:rsid w:val="3C697F1C"/>
    <w:rsid w:val="3CA27813"/>
    <w:rsid w:val="3CD46A82"/>
    <w:rsid w:val="3D610536"/>
    <w:rsid w:val="3D795A27"/>
    <w:rsid w:val="3DA55A26"/>
    <w:rsid w:val="3DAB7D07"/>
    <w:rsid w:val="3EA4285B"/>
    <w:rsid w:val="3F4B0B90"/>
    <w:rsid w:val="40483048"/>
    <w:rsid w:val="42450553"/>
    <w:rsid w:val="427344A4"/>
    <w:rsid w:val="42934264"/>
    <w:rsid w:val="42A268B1"/>
    <w:rsid w:val="431D7913"/>
    <w:rsid w:val="43405D3B"/>
    <w:rsid w:val="43715D05"/>
    <w:rsid w:val="444632A3"/>
    <w:rsid w:val="447D4741"/>
    <w:rsid w:val="451B396A"/>
    <w:rsid w:val="465E0428"/>
    <w:rsid w:val="4667343F"/>
    <w:rsid w:val="46C92161"/>
    <w:rsid w:val="46ED6330"/>
    <w:rsid w:val="470D6011"/>
    <w:rsid w:val="47213175"/>
    <w:rsid w:val="47C139FE"/>
    <w:rsid w:val="47C96301"/>
    <w:rsid w:val="483A1C49"/>
    <w:rsid w:val="486A51B2"/>
    <w:rsid w:val="488E19FE"/>
    <w:rsid w:val="49251F5D"/>
    <w:rsid w:val="49D2737C"/>
    <w:rsid w:val="4A4726C3"/>
    <w:rsid w:val="4AE3393F"/>
    <w:rsid w:val="4BB30C93"/>
    <w:rsid w:val="4BDD115C"/>
    <w:rsid w:val="4C0D4C43"/>
    <w:rsid w:val="4C573C91"/>
    <w:rsid w:val="4C5972F7"/>
    <w:rsid w:val="4C93451E"/>
    <w:rsid w:val="4D510E91"/>
    <w:rsid w:val="4E0C62DC"/>
    <w:rsid w:val="4E5A5E1D"/>
    <w:rsid w:val="4EF00A95"/>
    <w:rsid w:val="4F4023E0"/>
    <w:rsid w:val="4FC238D7"/>
    <w:rsid w:val="4FD90271"/>
    <w:rsid w:val="501635E5"/>
    <w:rsid w:val="50BF2BB3"/>
    <w:rsid w:val="51017E48"/>
    <w:rsid w:val="51D954E3"/>
    <w:rsid w:val="53066A9D"/>
    <w:rsid w:val="53310203"/>
    <w:rsid w:val="53386B39"/>
    <w:rsid w:val="53802744"/>
    <w:rsid w:val="54436E69"/>
    <w:rsid w:val="5462555D"/>
    <w:rsid w:val="547B6B84"/>
    <w:rsid w:val="548C7E1A"/>
    <w:rsid w:val="54DF1C14"/>
    <w:rsid w:val="550226ED"/>
    <w:rsid w:val="554A000D"/>
    <w:rsid w:val="5589401D"/>
    <w:rsid w:val="55D412F3"/>
    <w:rsid w:val="56484DFB"/>
    <w:rsid w:val="575C3918"/>
    <w:rsid w:val="57E814AC"/>
    <w:rsid w:val="583434DF"/>
    <w:rsid w:val="599A7D17"/>
    <w:rsid w:val="5A2C0C78"/>
    <w:rsid w:val="5A435B57"/>
    <w:rsid w:val="5A7E7646"/>
    <w:rsid w:val="5BA13433"/>
    <w:rsid w:val="5F1B78D7"/>
    <w:rsid w:val="5F4E54B0"/>
    <w:rsid w:val="601F44AE"/>
    <w:rsid w:val="602F06FE"/>
    <w:rsid w:val="60AC584B"/>
    <w:rsid w:val="60B15773"/>
    <w:rsid w:val="613620FE"/>
    <w:rsid w:val="61FC2599"/>
    <w:rsid w:val="6346226B"/>
    <w:rsid w:val="63ED7E5E"/>
    <w:rsid w:val="63F90704"/>
    <w:rsid w:val="64623A89"/>
    <w:rsid w:val="64C51F8E"/>
    <w:rsid w:val="663E5814"/>
    <w:rsid w:val="66D56A66"/>
    <w:rsid w:val="66ED7E50"/>
    <w:rsid w:val="67611ED5"/>
    <w:rsid w:val="67AA3536"/>
    <w:rsid w:val="68E718AC"/>
    <w:rsid w:val="69BA6068"/>
    <w:rsid w:val="6A4811D6"/>
    <w:rsid w:val="6A4F35B8"/>
    <w:rsid w:val="6A6D4094"/>
    <w:rsid w:val="6AC242D8"/>
    <w:rsid w:val="6B9D0130"/>
    <w:rsid w:val="6C1B3F99"/>
    <w:rsid w:val="6C3F2167"/>
    <w:rsid w:val="6C773542"/>
    <w:rsid w:val="6C7E02FB"/>
    <w:rsid w:val="6CFE4F8F"/>
    <w:rsid w:val="6D2F770C"/>
    <w:rsid w:val="6F1766F9"/>
    <w:rsid w:val="6F89137C"/>
    <w:rsid w:val="6F90542C"/>
    <w:rsid w:val="7066288C"/>
    <w:rsid w:val="70FE56D5"/>
    <w:rsid w:val="71CD0882"/>
    <w:rsid w:val="721D52EB"/>
    <w:rsid w:val="725E4A51"/>
    <w:rsid w:val="726724C2"/>
    <w:rsid w:val="7338367F"/>
    <w:rsid w:val="73E1774C"/>
    <w:rsid w:val="73ED2F63"/>
    <w:rsid w:val="74BE4CBD"/>
    <w:rsid w:val="759A7CB1"/>
    <w:rsid w:val="75CD62EC"/>
    <w:rsid w:val="75DC79B9"/>
    <w:rsid w:val="75EB65B5"/>
    <w:rsid w:val="76F87D79"/>
    <w:rsid w:val="776048E4"/>
    <w:rsid w:val="7766387A"/>
    <w:rsid w:val="77885540"/>
    <w:rsid w:val="779722B2"/>
    <w:rsid w:val="780103C5"/>
    <w:rsid w:val="780D7A7E"/>
    <w:rsid w:val="78781135"/>
    <w:rsid w:val="79C52DCD"/>
    <w:rsid w:val="79E1783B"/>
    <w:rsid w:val="79F83F77"/>
    <w:rsid w:val="7A0550B0"/>
    <w:rsid w:val="7A105A47"/>
    <w:rsid w:val="7A596AD9"/>
    <w:rsid w:val="7AB01D81"/>
    <w:rsid w:val="7BAC27DE"/>
    <w:rsid w:val="7BF8105A"/>
    <w:rsid w:val="7C25589F"/>
    <w:rsid w:val="7C4B43C6"/>
    <w:rsid w:val="7C655753"/>
    <w:rsid w:val="7C852ED7"/>
    <w:rsid w:val="7F5D7B54"/>
    <w:rsid w:val="7FC57B0A"/>
    <w:rsid w:val="7FED75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adjustRightInd w:val="0"/>
      <w:snapToGrid w:val="0"/>
      <w:spacing w:line="400" w:lineRule="atLeast"/>
      <w:ind w:right="48"/>
      <w:jc w:val="center"/>
      <w:textAlignment w:val="baseline"/>
      <w:outlineLvl w:val="1"/>
    </w:pPr>
    <w:rPr>
      <w:rFonts w:ascii="MingLiU" w:eastAsia="MingLiU"/>
      <w:kern w:val="0"/>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unhideWhenUsed/>
    <w:qFormat/>
    <w:uiPriority w:val="99"/>
    <w:pPr>
      <w:spacing w:line="420" w:lineRule="exact"/>
    </w:pPr>
    <w:rPr>
      <w:sz w:val="24"/>
    </w:rPr>
  </w:style>
  <w:style w:type="paragraph" w:styleId="5">
    <w:name w:val="Body Text Indent"/>
    <w:basedOn w:val="1"/>
    <w:link w:val="18"/>
    <w:qFormat/>
    <w:uiPriority w:val="0"/>
    <w:pPr>
      <w:ind w:left="360"/>
    </w:pPr>
    <w:rPr>
      <w:rFonts w:ascii="宋体"/>
      <w:sz w:val="20"/>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表格文字"/>
    <w:basedOn w:val="1"/>
    <w:qFormat/>
    <w:uiPriority w:val="99"/>
    <w:pPr>
      <w:spacing w:before="25" w:after="25"/>
    </w:pPr>
    <w:rPr>
      <w:bCs/>
      <w:spacing w:val="10"/>
    </w:rPr>
  </w:style>
  <w:style w:type="character" w:customStyle="1" w:styleId="12">
    <w:name w:val="页眉 字符"/>
    <w:basedOn w:val="10"/>
    <w:link w:val="8"/>
    <w:qFormat/>
    <w:uiPriority w:val="99"/>
    <w:rPr>
      <w:rFonts w:ascii="Times New Roman" w:hAnsi="Times New Roman" w:eastAsia="宋体" w:cs="Times New Roman"/>
      <w:sz w:val="18"/>
      <w:szCs w:val="18"/>
    </w:rPr>
  </w:style>
  <w:style w:type="character" w:customStyle="1" w:styleId="13">
    <w:name w:val="页脚 字符"/>
    <w:basedOn w:val="10"/>
    <w:link w:val="7"/>
    <w:qFormat/>
    <w:uiPriority w:val="99"/>
    <w:rPr>
      <w:rFonts w:ascii="Times New Roman" w:hAnsi="Times New Roman" w:eastAsia="宋体" w:cs="Times New Roman"/>
      <w:sz w:val="18"/>
      <w:szCs w:val="18"/>
    </w:rPr>
  </w:style>
  <w:style w:type="character" w:customStyle="1" w:styleId="14">
    <w:name w:val="批注框文本 字符"/>
    <w:basedOn w:val="10"/>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_Style 2"/>
    <w:basedOn w:val="1"/>
    <w:qFormat/>
    <w:uiPriority w:val="34"/>
    <w:pPr>
      <w:ind w:firstLine="420" w:firstLineChars="200"/>
    </w:pPr>
    <w:rPr>
      <w:rFonts w:ascii="Calibri" w:hAnsi="Calibri"/>
      <w:sz w:val="24"/>
      <w:szCs w:val="22"/>
    </w:rPr>
  </w:style>
  <w:style w:type="paragraph" w:customStyle="1" w:styleId="17">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8">
    <w:name w:val="正文文本缩进 字符"/>
    <w:basedOn w:val="10"/>
    <w:link w:val="5"/>
    <w:qFormat/>
    <w:uiPriority w:val="0"/>
    <w:rPr>
      <w:rFonts w:ascii="宋体" w:hAnsi="Times New Roman" w:eastAsia="宋体" w:cs="Times New Roman"/>
      <w:kern w:val="2"/>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1042</Words>
  <Characters>5942</Characters>
  <Lines>49</Lines>
  <Paragraphs>13</Paragraphs>
  <TotalTime>1</TotalTime>
  <ScaleCrop>false</ScaleCrop>
  <LinksUpToDate>false</LinksUpToDate>
  <CharactersWithSpaces>6971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2020-09-21T02:05:00Z</dcterms:created>
  <dc:creator>微软用户</dc:creator>
  <cp:lastModifiedBy>张磊</cp:lastModifiedBy>
  <dcterms:modified xsi:type="dcterms:W3CDTF">2021-05-27T07:14:53Z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7EE00F5B36774868ABA6B1B2E9469247</vt:lpwstr>
  </property>
</Properties>
</file>