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75"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陈爱英、黄瑞金  </w:t>
            </w:r>
            <w:r>
              <w:rPr>
                <w:rFonts w:hint="eastAsia"/>
                <w:sz w:val="24"/>
                <w:szCs w:val="24"/>
              </w:rPr>
              <w:t>陪同人员：</w:t>
            </w:r>
            <w:r>
              <w:rPr>
                <w:rFonts w:hint="eastAsia"/>
                <w:sz w:val="24"/>
                <w:szCs w:val="24"/>
                <w:lang w:val="en-US" w:eastAsia="zh-CN"/>
              </w:rPr>
              <w:t>胡藏粮</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vMerge w:val="continue"/>
            <w:vAlign w:val="center"/>
          </w:tcPr>
          <w:p>
            <w:pPr>
              <w:spacing w:line="360" w:lineRule="auto"/>
            </w:pPr>
          </w:p>
        </w:tc>
        <w:tc>
          <w:tcPr>
            <w:tcW w:w="1175"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2021.5.12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pPr>
              <w:spacing w:line="360" w:lineRule="auto"/>
            </w:pPr>
          </w:p>
        </w:tc>
        <w:tc>
          <w:tcPr>
            <w:tcW w:w="1175" w:type="dxa"/>
            <w:vMerge w:val="continue"/>
            <w:vAlign w:val="center"/>
          </w:tcPr>
          <w:p>
            <w:pPr>
              <w:spacing w:line="360" w:lineRule="auto"/>
            </w:pPr>
          </w:p>
        </w:tc>
        <w:tc>
          <w:tcPr>
            <w:tcW w:w="10004" w:type="dxa"/>
            <w:vAlign w:val="center"/>
          </w:tcPr>
          <w:p>
            <w:pPr>
              <w:spacing w:line="360" w:lineRule="auto"/>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QEO:4.1理解组织及其环境、4.2理解相关方的需求和期望、4.3 确定管理体系的范围、4.4质量/环境管理体系及其过程、5.1领导作用和承诺、5.2质量/环境方针、5.3组织的岗位、职责和权限、O5.4协商与参与、6.1应对风险和机遇的措施、6.2质量/环境目标及其实现的策划、Q6.3变更的策划、7.1.1（EO7.1）资源总则、7.4沟通/信息交流、9.3管理评审、10.1改进、10.3持续改进</w:t>
            </w:r>
          </w:p>
          <w:p>
            <w:pPr>
              <w:adjustRightInd w:val="0"/>
              <w:snapToGrid w:val="0"/>
              <w:spacing w:line="360" w:lineRule="auto"/>
              <w:ind w:right="105" w:rightChars="50"/>
              <w:textAlignment w:val="baseline"/>
              <w:rPr>
                <w:sz w:val="24"/>
                <w:szCs w:val="24"/>
              </w:rPr>
            </w:pPr>
            <w:r>
              <w:rPr>
                <w:rFonts w:hint="eastAsia" w:ascii="宋体" w:hAnsi="宋体" w:eastAsia="宋体" w:cs="Arial"/>
                <w:spacing w:val="-6"/>
                <w:sz w:val="21"/>
                <w:szCs w:val="21"/>
              </w:rPr>
              <w:t>国家/地方监督抽查情况；顾客满意、相关方投诉及处理情况；一阶段问题验证，验证企业相关资质证明的有效性；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理解组织及其环境</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QEO:4.1</w:t>
            </w: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江西添瑞高分子新材料有限公司组建于2019年8月，注册资本1000万人民币。</w:t>
            </w:r>
          </w:p>
          <w:p>
            <w:pPr>
              <w:spacing w:line="360" w:lineRule="auto"/>
              <w:ind w:firstLine="420" w:firstLineChars="200"/>
              <w:rPr>
                <w:rFonts w:hint="eastAsia"/>
                <w:szCs w:val="22"/>
                <w:highlight w:val="none"/>
                <w:lang w:val="zh-CN"/>
              </w:rPr>
            </w:pPr>
            <w:r>
              <w:rPr>
                <w:rFonts w:hint="eastAsia"/>
                <w:szCs w:val="22"/>
                <w:highlight w:val="none"/>
                <w:lang w:val="en-US" w:eastAsia="zh-CN"/>
              </w:rPr>
              <w:t>公司注册地址：</w:t>
            </w:r>
            <w:r>
              <w:rPr>
                <w:rFonts w:hint="eastAsia"/>
                <w:szCs w:val="22"/>
                <w:highlight w:val="none"/>
                <w:lang w:val="zh-CN"/>
              </w:rPr>
              <w:t>江西省宜春市樟树市洲上乡工业园88号；</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生产经营地址：江西省宜春市樟树市张家山工业园区 园区中路。</w:t>
            </w:r>
          </w:p>
          <w:p>
            <w:pPr>
              <w:spacing w:line="360" w:lineRule="auto"/>
              <w:ind w:firstLine="420" w:firstLineChars="200"/>
              <w:rPr>
                <w:rFonts w:hint="eastAsia"/>
                <w:szCs w:val="22"/>
                <w:highlight w:val="none"/>
                <w:lang w:val="zh-CN" w:eastAsia="zh-CN"/>
              </w:rPr>
            </w:pPr>
            <w:r>
              <w:rPr>
                <w:rFonts w:hint="eastAsia"/>
                <w:szCs w:val="22"/>
                <w:highlight w:val="none"/>
                <w:lang w:val="zh-CN"/>
              </w:rPr>
              <w:t>公司占地面积2040平方米，厂房建筑面积为1805</w:t>
            </w:r>
            <w:r>
              <w:rPr>
                <w:rFonts w:hint="eastAsia"/>
                <w:szCs w:val="22"/>
                <w:highlight w:val="none"/>
                <w:lang w:val="en-US" w:eastAsia="zh-CN"/>
              </w:rPr>
              <w:t>平方米，</w:t>
            </w:r>
            <w:r>
              <w:rPr>
                <w:rFonts w:hint="eastAsia"/>
                <w:szCs w:val="22"/>
                <w:highlight w:val="none"/>
                <w:lang w:val="zh-CN"/>
              </w:rPr>
              <w:t>办公室建筑面积为</w:t>
            </w:r>
            <w:r>
              <w:rPr>
                <w:rFonts w:hint="eastAsia"/>
                <w:szCs w:val="22"/>
                <w:highlight w:val="none"/>
                <w:lang w:val="en-US" w:eastAsia="zh-CN"/>
              </w:rPr>
              <w:t>235平方米</w:t>
            </w:r>
            <w:r>
              <w:rPr>
                <w:rFonts w:hint="eastAsia"/>
                <w:szCs w:val="22"/>
                <w:highlight w:val="none"/>
                <w:lang w:val="zh-CN"/>
              </w:rPr>
              <w:t>。</w:t>
            </w:r>
          </w:p>
          <w:p>
            <w:pPr>
              <w:spacing w:line="360" w:lineRule="auto"/>
              <w:ind w:firstLine="420" w:firstLineChars="200"/>
              <w:rPr>
                <w:rFonts w:hint="eastAsia"/>
                <w:highlight w:val="none"/>
              </w:rPr>
            </w:pPr>
            <w:r>
              <w:rPr>
                <w:rFonts w:hint="eastAsia"/>
                <w:szCs w:val="22"/>
                <w:highlight w:val="none"/>
                <w:lang w:val="en-US" w:eastAsia="zh-CN"/>
              </w:rPr>
              <w:t>主要设备有高混机、冷混机、上料机、破</w:t>
            </w:r>
            <w:r>
              <w:rPr>
                <w:rFonts w:hint="eastAsia"/>
                <w:highlight w:val="none"/>
              </w:rPr>
              <w:t>碎机、挤出机、震动筛、集尘装置、注塑机、磨粉机等；</w:t>
            </w:r>
          </w:p>
          <w:p>
            <w:pPr>
              <w:spacing w:line="360" w:lineRule="auto"/>
              <w:ind w:firstLine="420" w:firstLineChars="200"/>
              <w:rPr>
                <w:rFonts w:hint="eastAsia"/>
                <w:color w:val="auto"/>
                <w:highlight w:val="none"/>
              </w:rPr>
            </w:pPr>
            <w:r>
              <w:rPr>
                <w:rFonts w:hint="eastAsia"/>
                <w:color w:val="auto"/>
                <w:highlight w:val="none"/>
              </w:rPr>
              <w:t>主要检测设备包括：游标卡尺、钢卷尺、</w:t>
            </w:r>
            <w:r>
              <w:rPr>
                <w:rFonts w:hint="eastAsia"/>
                <w:color w:val="auto"/>
                <w:highlight w:val="none"/>
                <w:lang w:val="en-US" w:eastAsia="zh-CN"/>
              </w:rPr>
              <w:t>压力表、融指仪</w:t>
            </w:r>
            <w:r>
              <w:rPr>
                <w:rFonts w:hint="eastAsia"/>
                <w:color w:val="auto"/>
                <w:highlight w:val="none"/>
              </w:rPr>
              <w:t>等；</w:t>
            </w:r>
          </w:p>
          <w:p>
            <w:pPr>
              <w:spacing w:line="360" w:lineRule="auto"/>
              <w:ind w:firstLine="420" w:firstLineChars="200"/>
              <w:rPr>
                <w:rFonts w:hint="default"/>
                <w:szCs w:val="22"/>
                <w:highlight w:val="none"/>
                <w:lang w:val="en-US" w:eastAsia="zh-CN"/>
              </w:rPr>
            </w:pPr>
            <w:r>
              <w:rPr>
                <w:rFonts w:hint="eastAsia"/>
                <w:color w:val="auto"/>
                <w:highlight w:val="none"/>
                <w:lang w:val="en-US" w:eastAsia="zh-CN"/>
              </w:rPr>
              <w:t>主要环保设备包括：废气处理设施(布袋除尘装置、UV光解+二级活性炭吸附装置)和噪声、固废处置设施、循环水冷却塔等；</w:t>
            </w:r>
          </w:p>
          <w:p>
            <w:pPr>
              <w:spacing w:line="360" w:lineRule="auto"/>
              <w:ind w:firstLine="420" w:firstLineChars="200"/>
              <w:rPr>
                <w:rFonts w:hint="eastAsia"/>
                <w:szCs w:val="22"/>
                <w:highlight w:val="none"/>
                <w:lang w:val="zh-CN"/>
              </w:rPr>
            </w:pPr>
            <w:r>
              <w:rPr>
                <w:rFonts w:hint="eastAsia"/>
                <w:szCs w:val="22"/>
                <w:highlight w:val="none"/>
                <w:lang w:val="zh-CN"/>
              </w:rPr>
              <w:t>公司设置有</w:t>
            </w:r>
            <w:r>
              <w:rPr>
                <w:rFonts w:hint="eastAsia"/>
                <w:szCs w:val="22"/>
                <w:highlight w:val="none"/>
                <w:lang w:val="en-US" w:eastAsia="zh-CN"/>
              </w:rPr>
              <w:t>综合管理部</w:t>
            </w:r>
            <w:r>
              <w:rPr>
                <w:rFonts w:hint="eastAsia"/>
                <w:szCs w:val="22"/>
                <w:highlight w:val="none"/>
                <w:lang w:val="zh-CN" w:eastAsia="zh-CN"/>
              </w:rPr>
              <w:t>、</w:t>
            </w:r>
            <w:r>
              <w:rPr>
                <w:rFonts w:hint="eastAsia"/>
                <w:szCs w:val="22"/>
                <w:highlight w:val="none"/>
                <w:lang w:val="zh-CN"/>
              </w:rPr>
              <w:t>生产部。</w:t>
            </w:r>
          </w:p>
          <w:p>
            <w:pPr>
              <w:spacing w:line="360" w:lineRule="auto"/>
              <w:ind w:firstLine="420" w:firstLineChars="200"/>
              <w:rPr>
                <w:rFonts w:hint="eastAsia"/>
                <w:szCs w:val="22"/>
                <w:highlight w:val="none"/>
                <w:lang w:val="zh-CN"/>
              </w:rPr>
            </w:pPr>
            <w:r>
              <w:rPr>
                <w:rFonts w:hint="eastAsia"/>
                <w:szCs w:val="22"/>
                <w:highlight w:val="none"/>
                <w:lang w:val="zh-CN"/>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szCs w:val="22"/>
                <w:highlight w:val="none"/>
                <w:lang w:val="zh-CN"/>
              </w:rPr>
            </w:pPr>
            <w:r>
              <w:rPr>
                <w:rFonts w:hint="eastAsia"/>
                <w:szCs w:val="22"/>
                <w:highlight w:val="none"/>
                <w:lang w:val="zh-CN"/>
              </w:rPr>
              <w:t>外部因素——国际经济政治形势、材料价格变动、竞争对手、客户需求的变化、新技术的采用等；</w:t>
            </w:r>
          </w:p>
          <w:p>
            <w:pPr>
              <w:spacing w:line="360" w:lineRule="auto"/>
              <w:ind w:firstLine="420" w:firstLineChars="200"/>
              <w:rPr>
                <w:rFonts w:hint="eastAsia"/>
                <w:szCs w:val="22"/>
                <w:highlight w:val="none"/>
                <w:lang w:val="zh-CN"/>
              </w:rPr>
            </w:pPr>
            <w:r>
              <w:rPr>
                <w:rFonts w:hint="eastAsia"/>
                <w:szCs w:val="22"/>
                <w:highlight w:val="none"/>
                <w:lang w:val="zh-CN"/>
              </w:rPr>
              <w:t>内部因素</w:t>
            </w:r>
            <w:r>
              <w:rPr>
                <w:rFonts w:hint="eastAsia"/>
                <w:szCs w:val="22"/>
                <w:highlight w:val="none"/>
                <w:lang w:val="zh-CN" w:eastAsia="zh-CN"/>
              </w:rPr>
              <w:t>——</w:t>
            </w:r>
            <w:r>
              <w:rPr>
                <w:rFonts w:hint="eastAsia"/>
                <w:szCs w:val="22"/>
                <w:highlight w:val="none"/>
                <w:lang w:val="zh-CN"/>
              </w:rPr>
              <w:t>公司文化、内部管理机制的建立、人员稳定性、员工年龄、经验等；</w:t>
            </w:r>
          </w:p>
          <w:p>
            <w:pPr>
              <w:spacing w:line="360" w:lineRule="auto"/>
              <w:ind w:firstLine="420" w:firstLineChars="200"/>
              <w:rPr>
                <w:rFonts w:hint="eastAsia"/>
                <w:szCs w:val="22"/>
                <w:highlight w:val="none"/>
                <w:lang w:val="zh-CN"/>
              </w:rPr>
            </w:pPr>
            <w:r>
              <w:rPr>
                <w:rFonts w:hint="eastAsia"/>
                <w:szCs w:val="22"/>
                <w:highlight w:val="none"/>
                <w:lang w:val="zh-CN"/>
              </w:rPr>
              <w:t>这些因素包括了需要考虑的正面和负面因素或条件。</w:t>
            </w:r>
          </w:p>
          <w:p>
            <w:pPr>
              <w:spacing w:line="360" w:lineRule="auto"/>
              <w:ind w:firstLine="420" w:firstLineChars="200"/>
              <w:rPr>
                <w:rFonts w:hint="eastAsia"/>
                <w:szCs w:val="22"/>
                <w:highlight w:val="none"/>
                <w:lang w:val="zh-CN"/>
              </w:rPr>
            </w:pPr>
            <w:r>
              <w:rPr>
                <w:rFonts w:hint="eastAsia"/>
                <w:szCs w:val="22"/>
                <w:highlight w:val="none"/>
                <w:lang w:val="zh-CN"/>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理解相关方的需求和期望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公司内外部相关方包括：顾客、员工、政府、技术监督局</w:t>
            </w:r>
            <w:r>
              <w:rPr>
                <w:rFonts w:hint="eastAsia"/>
                <w:szCs w:val="22"/>
                <w:highlight w:val="none"/>
                <w:lang w:val="zh-CN" w:eastAsia="zh-CN"/>
              </w:rPr>
              <w:t>、</w:t>
            </w:r>
            <w:r>
              <w:rPr>
                <w:rFonts w:hint="eastAsia"/>
                <w:szCs w:val="22"/>
                <w:highlight w:val="none"/>
                <w:lang w:val="zh-CN"/>
              </w:rPr>
              <w:t>供方及合作伙伴</w:t>
            </w:r>
            <w:r>
              <w:rPr>
                <w:rFonts w:hint="eastAsia"/>
                <w:szCs w:val="22"/>
                <w:highlight w:val="none"/>
                <w:lang w:val="zh-CN" w:eastAsia="zh-CN"/>
              </w:rPr>
              <w:t>、其他受本公司活动影响的团体或个人</w:t>
            </w:r>
            <w:r>
              <w:rPr>
                <w:rFonts w:hint="eastAsia"/>
                <w:szCs w:val="22"/>
                <w:highlight w:val="none"/>
                <w:lang w:val="zh-CN"/>
              </w:rPr>
              <w:t>等；</w:t>
            </w:r>
          </w:p>
          <w:p>
            <w:pPr>
              <w:spacing w:line="360" w:lineRule="auto"/>
              <w:ind w:firstLine="420" w:firstLineChars="200"/>
              <w:rPr>
                <w:rFonts w:hint="eastAsia"/>
                <w:szCs w:val="22"/>
                <w:highlight w:val="none"/>
                <w:lang w:val="zh-CN"/>
              </w:rPr>
            </w:pPr>
            <w:r>
              <w:rPr>
                <w:rFonts w:hint="eastAsia"/>
                <w:szCs w:val="22"/>
                <w:highlight w:val="none"/>
                <w:lang w:val="zh-CN"/>
              </w:rPr>
              <w:t>公司明确了相关方要求与期望、监测指标或项目、监测频率、监测部门等。</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基本符合。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default" w:ascii="宋体" w:hAnsi="宋体" w:eastAsia="宋体" w:cs="Arial"/>
                <w:spacing w:val="-6"/>
                <w:sz w:val="21"/>
                <w:szCs w:val="21"/>
                <w:lang w:val="en-US" w:eastAsia="zh-CN"/>
              </w:rPr>
              <w:t>变更的策划</w:t>
            </w:r>
          </w:p>
        </w:tc>
        <w:tc>
          <w:tcPr>
            <w:tcW w:w="117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6.3</w:t>
            </w: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公司基于对4.1和4.2的考虑，分析了存在的风险和机遇：</w:t>
            </w:r>
          </w:p>
          <w:p>
            <w:pPr>
              <w:spacing w:line="360" w:lineRule="auto"/>
              <w:ind w:firstLine="420" w:firstLineChars="200"/>
              <w:rPr>
                <w:rFonts w:hint="eastAsia"/>
                <w:szCs w:val="22"/>
                <w:highlight w:val="none"/>
                <w:lang w:val="zh-CN"/>
              </w:rPr>
            </w:pPr>
            <w:r>
              <w:rPr>
                <w:rFonts w:hint="eastAsia"/>
                <w:szCs w:val="22"/>
                <w:highlight w:val="none"/>
                <w:lang w:val="en-US" w:eastAsia="zh-CN"/>
              </w:rPr>
              <w:t>存在的机遇：国家整体经济的发展要求对整个行业的发展总体是利好；公司采用新技术运用高分子材料避免了过多分散剂的使用，符合国家环保的政策，有着良好的口碑，给公司的发展带来了机遇</w:t>
            </w:r>
            <w:r>
              <w:rPr>
                <w:rFonts w:hint="eastAsia"/>
                <w:szCs w:val="22"/>
                <w:highlight w:val="none"/>
                <w:lang w:val="zh-CN"/>
              </w:rPr>
              <w:t>。</w:t>
            </w:r>
          </w:p>
          <w:p>
            <w:pPr>
              <w:spacing w:line="360" w:lineRule="auto"/>
              <w:ind w:firstLine="420" w:firstLineChars="200"/>
              <w:rPr>
                <w:rFonts w:hint="eastAsia"/>
                <w:szCs w:val="22"/>
                <w:highlight w:val="none"/>
                <w:lang w:val="zh-CN"/>
              </w:rPr>
            </w:pPr>
            <w:r>
              <w:rPr>
                <w:rFonts w:hint="eastAsia"/>
                <w:szCs w:val="22"/>
                <w:highlight w:val="none"/>
                <w:lang w:val="en-US" w:eastAsia="zh-CN"/>
              </w:rPr>
              <w:t>存在的风险：主要来自竞争对手的竞争，行业入门容易、技术含量低，原材料价格波动影响成本</w:t>
            </w:r>
            <w:r>
              <w:rPr>
                <w:rFonts w:hint="eastAsia"/>
                <w:szCs w:val="22"/>
                <w:highlight w:val="none"/>
                <w:lang w:val="zh-CN" w:eastAsia="zh-CN"/>
              </w:rPr>
              <w:t>；</w:t>
            </w:r>
          </w:p>
          <w:p>
            <w:pPr>
              <w:spacing w:line="360" w:lineRule="auto"/>
              <w:ind w:firstLine="420" w:firstLineChars="200"/>
              <w:rPr>
                <w:rFonts w:hint="eastAsia"/>
                <w:szCs w:val="22"/>
                <w:highlight w:val="none"/>
                <w:lang w:val="zh-CN"/>
              </w:rPr>
            </w:pPr>
            <w:r>
              <w:rPr>
                <w:rFonts w:hint="eastAsia"/>
                <w:szCs w:val="22"/>
                <w:highlight w:val="none"/>
                <w:lang w:val="zh-CN"/>
              </w:rPr>
              <w:t>编制有《风险和机遇的应对控制程序》，对组织内外的风险和机遇进行了策划。</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保留重要环境因素清单：噪声排放、潜在火灾/爆炸、粉尘排放、固废排放，基本合理。</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控制措施：</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通用措施——制定目标、指标，编制运行控制文件，运行控制；一旦发生按相关应急预案执行。</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废水控制：公司生产不产生废水，生产用的冷却水循环使用，不外排；生活污水排入市政污水管网；</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噪声控制：生产设备在安装时就采取了减震处理，设备产生的噪音符合国标标准要求；</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目前公司生产过程产生的废气主要是混料搅拌粉尘、挤出废气，收集除尘后有组织排放；</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粉尘控制：在原料混料、搅拌时，会产生粉尘，控制措施是在混料、搅拌工序上方设置集气罩，粉尘经收集后接入布袋除尘处理装置，回收利用；</w:t>
            </w:r>
          </w:p>
          <w:p>
            <w:pPr>
              <w:spacing w:line="360" w:lineRule="auto"/>
              <w:ind w:firstLine="420" w:firstLineChars="200"/>
              <w:rPr>
                <w:rFonts w:hint="eastAsia"/>
                <w:szCs w:val="22"/>
                <w:highlight w:val="none"/>
                <w:lang w:val="en-US" w:eastAsia="zh-CN"/>
              </w:rPr>
            </w:pPr>
            <w:r>
              <w:rPr>
                <w:rFonts w:hint="eastAsia" w:cs="Times New Roman"/>
                <w:szCs w:val="22"/>
                <w:highlight w:val="none"/>
                <w:lang w:val="en-US" w:eastAsia="zh-CN"/>
              </w:rPr>
              <w:t>废气排放：</w:t>
            </w:r>
            <w:r>
              <w:rPr>
                <w:rFonts w:hint="default" w:ascii="Times New Roman" w:hAnsi="Times New Roman" w:eastAsia="宋体" w:cs="Times New Roman"/>
                <w:szCs w:val="22"/>
                <w:highlight w:val="none"/>
                <w:lang w:val="en-US" w:eastAsia="zh-CN"/>
              </w:rPr>
              <w:t>熔融挤出工序产生的有机废气和臭气经集气罩收集后</w:t>
            </w:r>
            <w:r>
              <w:rPr>
                <w:rFonts w:hint="eastAsia" w:ascii="Times New Roman" w:hAnsi="Times New Roman" w:eastAsia="宋体" w:cs="Times New Roman"/>
                <w:szCs w:val="22"/>
                <w:highlight w:val="none"/>
                <w:lang w:val="en-US" w:eastAsia="zh-CN"/>
              </w:rPr>
              <w:t>，</w:t>
            </w:r>
            <w:r>
              <w:rPr>
                <w:rFonts w:hint="default" w:ascii="Times New Roman" w:hAnsi="Times New Roman" w:eastAsia="宋体" w:cs="Times New Roman"/>
                <w:szCs w:val="22"/>
                <w:highlight w:val="none"/>
                <w:lang w:val="en-US" w:eastAsia="zh-CN"/>
              </w:rPr>
              <w:t>通过</w:t>
            </w:r>
            <w:r>
              <w:rPr>
                <w:rFonts w:hint="eastAsia" w:ascii="Times New Roman" w:hAnsi="Times New Roman" w:eastAsia="宋体" w:cs="Times New Roman"/>
                <w:szCs w:val="22"/>
                <w:highlight w:val="none"/>
                <w:lang w:val="en-US" w:eastAsia="zh-CN"/>
              </w:rPr>
              <w:t>“</w:t>
            </w:r>
            <w:r>
              <w:rPr>
                <w:rFonts w:hint="default" w:ascii="Times New Roman" w:hAnsi="Times New Roman" w:eastAsia="宋体" w:cs="Times New Roman"/>
                <w:szCs w:val="22"/>
                <w:highlight w:val="none"/>
                <w:lang w:val="en-US" w:eastAsia="zh-CN"/>
              </w:rPr>
              <w:t>UⅤ光解+二级活性炭吸附</w:t>
            </w:r>
            <w:r>
              <w:rPr>
                <w:rFonts w:hint="eastAsia" w:ascii="Times New Roman" w:hAnsi="Times New Roman" w:eastAsia="宋体" w:cs="Times New Roman"/>
                <w:szCs w:val="22"/>
                <w:highlight w:val="none"/>
                <w:lang w:val="en-US" w:eastAsia="zh-CN"/>
              </w:rPr>
              <w:t>”</w:t>
            </w:r>
            <w:r>
              <w:rPr>
                <w:rFonts w:hint="default" w:ascii="Times New Roman" w:hAnsi="Times New Roman" w:eastAsia="宋体" w:cs="Times New Roman"/>
                <w:szCs w:val="22"/>
                <w:highlight w:val="none"/>
                <w:lang w:val="en-US" w:eastAsia="zh-CN"/>
              </w:rPr>
              <w:t>装置+</w:t>
            </w:r>
            <w:r>
              <w:rPr>
                <w:rFonts w:hint="eastAsia" w:ascii="Times New Roman" w:hAnsi="Times New Roman" w:eastAsia="宋体" w:cs="Times New Roman"/>
                <w:szCs w:val="22"/>
                <w:highlight w:val="none"/>
                <w:lang w:val="en-US" w:eastAsia="zh-CN"/>
              </w:rPr>
              <w:t>15米</w:t>
            </w:r>
            <w:r>
              <w:rPr>
                <w:rFonts w:hint="default" w:ascii="Times New Roman" w:hAnsi="Times New Roman" w:eastAsia="宋体" w:cs="Times New Roman"/>
                <w:szCs w:val="22"/>
                <w:highlight w:val="none"/>
                <w:lang w:val="en-US" w:eastAsia="zh-CN"/>
              </w:rPr>
              <w:t>高排气筒排放</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固/危废控制：</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办公、垃圾交环卫部门处理，硒鼓墨盒交厂家回收；</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生产固废，收集后重复利用；生产过程中产生的包装废弃物等一般固废集中统一处理。</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废活性炭滤芯、废UV灯管为危险固体废物，委托有资质的单位处理，查见有签订的协议；</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能资源管理：人走灯灭，人走关水，能节约水电；</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火灾事故预防：公司配备有灭火器等消防设施，有检查维护。</w:t>
            </w:r>
          </w:p>
          <w:p>
            <w:pPr>
              <w:spacing w:line="360" w:lineRule="auto"/>
              <w:ind w:firstLine="420" w:firstLineChars="200"/>
              <w:rPr>
                <w:rFonts w:hint="eastAsia"/>
                <w:szCs w:val="22"/>
                <w:highlight w:val="none"/>
                <w:lang w:val="zh-CN"/>
              </w:rPr>
            </w:pPr>
            <w:r>
              <w:rPr>
                <w:rFonts w:hint="eastAsia"/>
                <w:szCs w:val="22"/>
                <w:highlight w:val="none"/>
                <w:lang w:val="zh-CN"/>
              </w:rPr>
              <w:t>为应对</w:t>
            </w:r>
            <w:r>
              <w:rPr>
                <w:rFonts w:hint="eastAsia"/>
                <w:szCs w:val="22"/>
                <w:highlight w:val="none"/>
                <w:lang w:val="en-US" w:eastAsia="zh-CN"/>
              </w:rPr>
              <w:t>上述</w:t>
            </w:r>
            <w:r>
              <w:rPr>
                <w:rFonts w:hint="eastAsia"/>
                <w:szCs w:val="22"/>
                <w:highlight w:val="none"/>
                <w:lang w:val="zh-CN"/>
              </w:rPr>
              <w:t>的风险和机遇，公司依据ISO9001：2015、ISO14001：2015标准的要求并结合本公司的具体情况，采取PDCA的过程方法，建立、实施、保持并持续改进质量、环境管理体系。</w:t>
            </w:r>
          </w:p>
          <w:p>
            <w:pPr>
              <w:spacing w:line="360" w:lineRule="auto"/>
              <w:ind w:firstLine="420" w:firstLineChars="200"/>
              <w:rPr>
                <w:rFonts w:hint="eastAsia"/>
                <w:szCs w:val="22"/>
                <w:highlight w:val="none"/>
                <w:lang w:val="zh-CN"/>
              </w:rPr>
            </w:pPr>
            <w:r>
              <w:rPr>
                <w:rFonts w:hint="eastAsia"/>
                <w:szCs w:val="22"/>
                <w:highlight w:val="none"/>
                <w:lang w:val="en-US" w:eastAsia="zh-CN"/>
              </w:rPr>
              <w:t>管理手册——A/0，</w:t>
            </w:r>
            <w:r>
              <w:rPr>
                <w:rFonts w:hint="eastAsia"/>
                <w:szCs w:val="22"/>
                <w:highlight w:val="none"/>
                <w:lang w:val="zh-CN"/>
              </w:rPr>
              <w:t>2020年</w:t>
            </w:r>
            <w:r>
              <w:rPr>
                <w:rFonts w:hint="eastAsia"/>
                <w:szCs w:val="22"/>
                <w:highlight w:val="none"/>
                <w:lang w:val="en-US" w:eastAsia="zh-CN"/>
              </w:rPr>
              <w:t>12</w:t>
            </w:r>
            <w:r>
              <w:rPr>
                <w:rFonts w:hint="eastAsia"/>
                <w:szCs w:val="22"/>
                <w:highlight w:val="none"/>
                <w:lang w:val="zh-CN"/>
              </w:rPr>
              <w:t>月</w:t>
            </w:r>
            <w:r>
              <w:rPr>
                <w:rFonts w:hint="eastAsia"/>
                <w:szCs w:val="22"/>
                <w:highlight w:val="none"/>
                <w:lang w:val="en-US" w:eastAsia="zh-CN"/>
              </w:rPr>
              <w:t>01</w:t>
            </w:r>
            <w:r>
              <w:rPr>
                <w:rFonts w:hint="eastAsia"/>
                <w:szCs w:val="22"/>
                <w:highlight w:val="none"/>
                <w:lang w:val="zh-CN"/>
              </w:rPr>
              <w:t>日</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程序文件——环境因素识别与评价程序、法律法规和其他要求控制程序、风险和机遇的应对控制程序、顾客满意度控制程序、采购控制程序、生产和服务管理控制程序、产品检验和试验控制程序、应急准备和响应控制程序、监视和测量控制程序、不合格品控制程序、事故、事件控制程序等24个；</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管理文件——环境作业指导书、水电及安全管理制度、检测器具管理制度、设备的使用管理规定、设备保养维修制度、设备操作规程、消防安全管理制度等；</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建立有外来文件清单，收集相关标准和法律等13个，包括QB/T 1648-1992聚乙烯着色母料、QB/T 2893-2007聚丙烯纤维用色母料、QB/T 2894-2007丙烯腈-丁二烯-苯乙烯（ABS）色母料等。</w:t>
            </w:r>
          </w:p>
          <w:p>
            <w:pPr>
              <w:spacing w:line="360" w:lineRule="auto"/>
              <w:ind w:firstLine="420" w:firstLineChars="200"/>
              <w:rPr>
                <w:rFonts w:hint="eastAsia"/>
                <w:szCs w:val="22"/>
                <w:highlight w:val="none"/>
                <w:lang w:val="zh-CN"/>
              </w:rPr>
            </w:pPr>
            <w:r>
              <w:rPr>
                <w:rFonts w:hint="eastAsia"/>
                <w:szCs w:val="22"/>
                <w:highlight w:val="none"/>
                <w:lang w:val="en-US" w:eastAsia="zh-CN"/>
              </w:rPr>
              <w:t>文件化管理体系目前基本满足要求。</w:t>
            </w:r>
          </w:p>
          <w:p>
            <w:pPr>
              <w:spacing w:line="360" w:lineRule="auto"/>
              <w:ind w:firstLine="420" w:firstLineChars="200"/>
              <w:rPr>
                <w:rFonts w:hint="eastAsia"/>
                <w:szCs w:val="22"/>
                <w:highlight w:val="none"/>
                <w:lang w:val="zh-CN"/>
              </w:rPr>
            </w:pPr>
            <w:r>
              <w:rPr>
                <w:rFonts w:hint="eastAsia"/>
                <w:szCs w:val="22"/>
                <w:highlight w:val="none"/>
                <w:lang w:val="zh-CN"/>
              </w:rPr>
              <w:t>本公司识别并确定了如下分工及过程：采购过程、</w:t>
            </w:r>
            <w:r>
              <w:rPr>
                <w:rFonts w:hint="eastAsia"/>
                <w:szCs w:val="22"/>
                <w:highlight w:val="none"/>
                <w:lang w:val="en-US" w:eastAsia="zh-CN"/>
              </w:rPr>
              <w:t>生产过程、</w:t>
            </w:r>
            <w:r>
              <w:rPr>
                <w:rFonts w:hint="eastAsia"/>
                <w:szCs w:val="22"/>
                <w:highlight w:val="none"/>
                <w:lang w:val="zh-CN"/>
              </w:rPr>
              <w:t>销售过程、检验与交付过程、绩效分析、评价与改进等多个过程。</w:t>
            </w:r>
          </w:p>
          <w:p>
            <w:pPr>
              <w:spacing w:line="360" w:lineRule="auto"/>
              <w:ind w:firstLine="420" w:firstLineChars="200"/>
              <w:rPr>
                <w:rFonts w:hint="eastAsia"/>
                <w:szCs w:val="22"/>
                <w:highlight w:val="none"/>
                <w:lang w:val="zh-CN"/>
              </w:rPr>
            </w:pPr>
            <w:r>
              <w:rPr>
                <w:rFonts w:hint="eastAsia"/>
                <w:szCs w:val="22"/>
                <w:highlight w:val="none"/>
                <w:lang w:val="en-US" w:eastAsia="zh-CN"/>
              </w:rPr>
              <w:t>业务</w:t>
            </w:r>
            <w:r>
              <w:rPr>
                <w:rFonts w:hint="eastAsia"/>
                <w:szCs w:val="22"/>
                <w:highlight w:val="none"/>
                <w:lang w:val="zh-CN"/>
              </w:rPr>
              <w:t>流程如下：</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破碎—配料—混合—熔融挤出—切割—筛分—抽检—包装—入库</w:t>
            </w:r>
          </w:p>
          <w:p>
            <w:pPr>
              <w:spacing w:line="360" w:lineRule="auto"/>
              <w:ind w:firstLine="420" w:firstLineChars="200"/>
              <w:rPr>
                <w:rFonts w:hint="eastAsia"/>
                <w:szCs w:val="22"/>
                <w:highlight w:val="none"/>
                <w:lang w:val="zh-CN"/>
              </w:rPr>
            </w:pPr>
            <w:r>
              <w:rPr>
                <w:rFonts w:hint="eastAsia"/>
                <w:szCs w:val="22"/>
                <w:highlight w:val="none"/>
                <w:lang w:val="zh-CN"/>
              </w:rPr>
              <w:t>管理手册中</w:t>
            </w:r>
            <w:r>
              <w:rPr>
                <w:rFonts w:hint="eastAsia"/>
                <w:szCs w:val="22"/>
                <w:highlight w:val="none"/>
                <w:lang w:val="en-US" w:eastAsia="zh-CN"/>
              </w:rPr>
              <w:t>确定</w:t>
            </w:r>
            <w:r>
              <w:rPr>
                <w:rFonts w:hint="eastAsia"/>
                <w:szCs w:val="22"/>
                <w:highlight w:val="none"/>
                <w:lang w:val="zh-CN"/>
              </w:rPr>
              <w:t>的认证范围：</w:t>
            </w:r>
          </w:p>
          <w:p>
            <w:pPr>
              <w:spacing w:line="360" w:lineRule="auto"/>
              <w:ind w:firstLine="420" w:firstLineChars="200"/>
              <w:rPr>
                <w:rFonts w:hint="eastAsia"/>
                <w:szCs w:val="22"/>
                <w:highlight w:val="none"/>
                <w:lang w:val="zh-CN" w:eastAsia="zh-CN"/>
              </w:rPr>
            </w:pPr>
            <w:r>
              <w:rPr>
                <w:rFonts w:hint="eastAsia"/>
                <w:szCs w:val="22"/>
                <w:highlight w:val="none"/>
                <w:lang w:val="zh-CN"/>
              </w:rPr>
              <w:t>Q：</w:t>
            </w:r>
            <w:r>
              <w:rPr>
                <w:rFonts w:hint="eastAsia"/>
                <w:szCs w:val="22"/>
                <w:highlight w:val="none"/>
                <w:lang w:val="en-US" w:eastAsia="zh-CN"/>
              </w:rPr>
              <w:t>高分子新材料（黑色母粒）</w:t>
            </w:r>
            <w:r>
              <w:rPr>
                <w:rFonts w:hint="eastAsia"/>
                <w:szCs w:val="22"/>
                <w:highlight w:val="none"/>
                <w:lang w:val="zh-CN"/>
              </w:rPr>
              <w:t>生产及其所涉及的相关管理活动</w:t>
            </w:r>
            <w:r>
              <w:rPr>
                <w:rFonts w:hint="eastAsia"/>
                <w:szCs w:val="22"/>
                <w:highlight w:val="none"/>
                <w:lang w:val="zh-CN" w:eastAsia="zh-CN"/>
              </w:rPr>
              <w:t>；</w:t>
            </w:r>
          </w:p>
          <w:p>
            <w:pPr>
              <w:spacing w:line="360" w:lineRule="auto"/>
              <w:ind w:firstLine="420" w:firstLineChars="200"/>
              <w:rPr>
                <w:rFonts w:hint="eastAsia"/>
                <w:szCs w:val="22"/>
                <w:highlight w:val="none"/>
                <w:lang w:val="zh-CN"/>
              </w:rPr>
            </w:pPr>
            <w:r>
              <w:rPr>
                <w:rFonts w:hint="eastAsia"/>
                <w:szCs w:val="22"/>
                <w:highlight w:val="none"/>
                <w:lang w:val="zh-CN"/>
              </w:rPr>
              <w:t>E：</w:t>
            </w:r>
            <w:r>
              <w:rPr>
                <w:rFonts w:hint="eastAsia"/>
                <w:szCs w:val="22"/>
                <w:highlight w:val="none"/>
                <w:lang w:val="en-US" w:eastAsia="zh-CN"/>
              </w:rPr>
              <w:t>高分子新材料（黑色母粒）</w:t>
            </w:r>
            <w:r>
              <w:rPr>
                <w:rFonts w:hint="eastAsia"/>
                <w:szCs w:val="22"/>
                <w:highlight w:val="none"/>
                <w:lang w:val="zh-CN"/>
              </w:rPr>
              <w:t>生产及其所涉及的相关环境管理活动；</w:t>
            </w:r>
          </w:p>
          <w:p>
            <w:pPr>
              <w:spacing w:line="360" w:lineRule="auto"/>
              <w:ind w:firstLine="420" w:firstLineChars="200"/>
              <w:rPr>
                <w:rFonts w:hint="eastAsia"/>
                <w:szCs w:val="22"/>
                <w:highlight w:val="none"/>
                <w:lang w:val="zh-CN"/>
              </w:rPr>
            </w:pPr>
            <w:r>
              <w:rPr>
                <w:rFonts w:hint="eastAsia"/>
                <w:szCs w:val="22"/>
                <w:highlight w:val="none"/>
                <w:lang w:val="zh-CN"/>
              </w:rPr>
              <w:t>不适用条款：Q8.3。</w:t>
            </w:r>
            <w:r>
              <w:rPr>
                <w:rFonts w:hint="eastAsia"/>
                <w:szCs w:val="22"/>
                <w:highlight w:val="none"/>
                <w:lang w:val="en-US" w:eastAsia="zh-CN"/>
              </w:rPr>
              <w:t>高分子新材料（黑色母粒）</w:t>
            </w:r>
            <w:r>
              <w:rPr>
                <w:rFonts w:hint="eastAsia"/>
                <w:szCs w:val="22"/>
                <w:highlight w:val="none"/>
                <w:lang w:val="zh-CN"/>
              </w:rPr>
              <w:t>的生产及其所涉及的相关管理活动均参照行业标准、企业规范及客户提供的尺寸、工艺要求组织生产，其生产过程不涉及GB/T19001-2016/ISO 9001:2015标准中8.3条款内容，其不适用的要求不影响公司确保其产品和服务合格的能力和责任，对增强顾客满意也不会产生影响。</w:t>
            </w:r>
          </w:p>
          <w:p>
            <w:pPr>
              <w:spacing w:line="360" w:lineRule="auto"/>
              <w:ind w:firstLine="420" w:firstLineChars="200"/>
              <w:rPr>
                <w:rFonts w:hint="eastAsia"/>
                <w:szCs w:val="22"/>
                <w:highlight w:val="none"/>
                <w:lang w:val="zh-CN"/>
              </w:rPr>
            </w:pPr>
            <w:r>
              <w:rPr>
                <w:rFonts w:hint="eastAsia"/>
                <w:szCs w:val="22"/>
                <w:highlight w:val="none"/>
                <w:lang w:val="zh-CN"/>
              </w:rPr>
              <w:t>管理体系</w:t>
            </w:r>
            <w:r>
              <w:rPr>
                <w:rFonts w:hint="eastAsia"/>
                <w:szCs w:val="22"/>
                <w:highlight w:val="none"/>
                <w:lang w:val="en-US" w:eastAsia="zh-CN"/>
              </w:rPr>
              <w:t>建立以来无变更</w:t>
            </w:r>
            <w:r>
              <w:rPr>
                <w:rFonts w:hint="eastAsia"/>
                <w:szCs w:val="22"/>
                <w:highlight w:val="none"/>
                <w:lang w:val="zh-CN"/>
              </w:rPr>
              <w:t>。基本合理。</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质量/环境目标及其实现的策划</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《管理手册》中明确了公司的质量、环境、职业健康安全方针是：</w:t>
            </w:r>
          </w:p>
          <w:p>
            <w:pPr>
              <w:spacing w:line="360" w:lineRule="auto"/>
              <w:ind w:firstLine="420" w:firstLineChars="200"/>
              <w:rPr>
                <w:rFonts w:hint="eastAsia"/>
                <w:szCs w:val="22"/>
                <w:highlight w:val="none"/>
                <w:lang w:val="zh-CN"/>
              </w:rPr>
            </w:pPr>
            <w:r>
              <w:rPr>
                <w:rFonts w:hint="eastAsia"/>
                <w:szCs w:val="22"/>
                <w:highlight w:val="none"/>
                <w:lang w:val="zh-CN"/>
              </w:rPr>
              <w:t>1.质量环境职业健康安全方针：</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质量方针：科技先行、质量为本、顾客满意、持续改进</w:t>
            </w:r>
          </w:p>
          <w:p>
            <w:pPr>
              <w:spacing w:line="360" w:lineRule="auto"/>
              <w:ind w:firstLine="420" w:firstLineChars="200"/>
              <w:rPr>
                <w:rFonts w:hint="eastAsia"/>
                <w:szCs w:val="22"/>
                <w:highlight w:val="none"/>
                <w:lang w:val="zh-CN"/>
              </w:rPr>
            </w:pPr>
            <w:r>
              <w:rPr>
                <w:rFonts w:hint="eastAsia"/>
                <w:szCs w:val="22"/>
                <w:highlight w:val="none"/>
                <w:lang w:val="en-US" w:eastAsia="zh-CN"/>
              </w:rPr>
              <w:t>环境方针：遵纪守法，保障员工权利；污染预防，承担社会责任</w:t>
            </w:r>
          </w:p>
          <w:p>
            <w:pPr>
              <w:spacing w:line="360" w:lineRule="auto"/>
              <w:ind w:firstLine="420" w:firstLineChars="200"/>
              <w:rPr>
                <w:rFonts w:hint="eastAsia"/>
                <w:szCs w:val="22"/>
                <w:highlight w:val="none"/>
                <w:lang w:val="zh-CN"/>
              </w:rPr>
            </w:pPr>
            <w:r>
              <w:rPr>
                <w:rFonts w:hint="eastAsia"/>
                <w:szCs w:val="22"/>
                <w:highlight w:val="none"/>
                <w:lang w:val="en-US" w:eastAsia="zh-CN"/>
              </w:rPr>
              <w:t>方针适宜于公司现状，在管理手册中明确，通过文件发放，使员工获知，适用时提供给相关方。</w:t>
            </w:r>
          </w:p>
          <w:p>
            <w:pPr>
              <w:spacing w:line="360" w:lineRule="auto"/>
              <w:ind w:firstLine="420" w:firstLineChars="200"/>
              <w:rPr>
                <w:rFonts w:hint="eastAsia"/>
                <w:szCs w:val="22"/>
                <w:highlight w:val="none"/>
                <w:lang w:val="zh-CN"/>
              </w:rPr>
            </w:pPr>
            <w:r>
              <w:rPr>
                <w:rFonts w:hint="eastAsia"/>
                <w:szCs w:val="22"/>
                <w:highlight w:val="none"/>
                <w:lang w:val="en-US" w:eastAsia="zh-CN"/>
              </w:rPr>
              <w:t>并以方针为框架，建立了公司管理目标：</w:t>
            </w:r>
          </w:p>
          <w:p>
            <w:pPr>
              <w:spacing w:line="360" w:lineRule="auto"/>
              <w:ind w:firstLine="420" w:firstLineChars="200"/>
              <w:rPr>
                <w:rFonts w:hint="eastAsia"/>
                <w:szCs w:val="22"/>
                <w:highlight w:val="none"/>
                <w:lang w:val="zh-CN"/>
              </w:rPr>
            </w:pPr>
            <w:r>
              <w:rPr>
                <w:rFonts w:hint="eastAsia"/>
                <w:szCs w:val="22"/>
                <w:highlight w:val="none"/>
                <w:lang w:val="zh-CN"/>
              </w:rPr>
              <w:t>2.管理目标：</w:t>
            </w:r>
          </w:p>
          <w:p>
            <w:pPr>
              <w:spacing w:line="360" w:lineRule="auto"/>
              <w:ind w:firstLine="420" w:firstLineChars="200"/>
              <w:rPr>
                <w:rFonts w:hint="eastAsia"/>
                <w:szCs w:val="22"/>
                <w:highlight w:val="none"/>
                <w:lang w:val="zh-CN"/>
              </w:rPr>
            </w:pPr>
            <w:r>
              <w:rPr>
                <w:rFonts w:hint="eastAsia"/>
                <w:szCs w:val="22"/>
                <w:highlight w:val="none"/>
                <w:lang w:val="zh-CN"/>
              </w:rPr>
              <w:t>质量目标：产品出厂合格率100%</w:t>
            </w:r>
            <w:r>
              <w:rPr>
                <w:rFonts w:hint="eastAsia"/>
                <w:szCs w:val="22"/>
                <w:highlight w:val="none"/>
                <w:lang w:val="zh-CN" w:eastAsia="zh-CN"/>
              </w:rPr>
              <w:t>；</w:t>
            </w:r>
            <w:r>
              <w:rPr>
                <w:rFonts w:hint="eastAsia"/>
                <w:szCs w:val="22"/>
                <w:highlight w:val="none"/>
                <w:lang w:val="zh-CN"/>
              </w:rPr>
              <w:t xml:space="preserve">顾客满意度92分以上 </w:t>
            </w:r>
          </w:p>
          <w:p>
            <w:pPr>
              <w:spacing w:line="360" w:lineRule="auto"/>
              <w:ind w:firstLine="420" w:firstLineChars="200"/>
              <w:rPr>
                <w:rFonts w:hint="eastAsia"/>
                <w:szCs w:val="22"/>
                <w:highlight w:val="none"/>
                <w:lang w:val="zh-CN" w:eastAsia="zh-CN"/>
              </w:rPr>
            </w:pPr>
            <w:r>
              <w:rPr>
                <w:rFonts w:hint="eastAsia"/>
                <w:szCs w:val="22"/>
                <w:highlight w:val="none"/>
                <w:lang w:val="zh-CN"/>
              </w:rPr>
              <w:t>环境目标：固体废弃物分类管理，处理率为100%；火灾事故为0</w:t>
            </w:r>
            <w:r>
              <w:rPr>
                <w:rFonts w:hint="eastAsia"/>
                <w:szCs w:val="22"/>
                <w:highlight w:val="none"/>
                <w:lang w:val="zh-CN" w:eastAsia="zh-CN"/>
              </w:rPr>
              <w:t>。</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制定“环境管理目标、指标及其管理方案一览表”，对重要环境因素控制进行了策划；</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通过“</w:t>
            </w:r>
            <w:r>
              <w:rPr>
                <w:rFonts w:hint="default"/>
                <w:szCs w:val="22"/>
                <w:highlight w:val="none"/>
                <w:lang w:val="en-US" w:eastAsia="zh-CN"/>
              </w:rPr>
              <w:t>目标实施措施表</w:t>
            </w:r>
            <w:r>
              <w:rPr>
                <w:rFonts w:hint="eastAsia"/>
                <w:szCs w:val="22"/>
                <w:highlight w:val="none"/>
                <w:lang w:val="en-US" w:eastAsia="zh-CN"/>
              </w:rPr>
              <w:t>”，对目标进行分解到各部门，并策划了实现措施；</w:t>
            </w:r>
          </w:p>
          <w:p>
            <w:pPr>
              <w:spacing w:line="360" w:lineRule="auto"/>
              <w:ind w:firstLine="420" w:firstLineChars="200"/>
              <w:rPr>
                <w:rFonts w:hint="eastAsia"/>
                <w:szCs w:val="22"/>
                <w:highlight w:val="none"/>
                <w:lang w:val="zh-CN"/>
              </w:rPr>
            </w:pPr>
            <w:r>
              <w:rPr>
                <w:rFonts w:hint="default"/>
                <w:szCs w:val="22"/>
                <w:highlight w:val="none"/>
                <w:lang w:val="en-US" w:eastAsia="zh-CN"/>
              </w:rPr>
              <w:t>202</w:t>
            </w:r>
            <w:r>
              <w:rPr>
                <w:rFonts w:hint="eastAsia"/>
                <w:szCs w:val="22"/>
                <w:highlight w:val="none"/>
                <w:lang w:val="en-US" w:eastAsia="zh-CN"/>
              </w:rPr>
              <w:t>1</w:t>
            </w:r>
            <w:r>
              <w:rPr>
                <w:rFonts w:hint="default"/>
                <w:szCs w:val="22"/>
                <w:highlight w:val="none"/>
                <w:lang w:val="en-US" w:eastAsia="zh-CN"/>
              </w:rPr>
              <w:t>年</w:t>
            </w:r>
            <w:r>
              <w:rPr>
                <w:rFonts w:hint="eastAsia"/>
                <w:szCs w:val="22"/>
                <w:highlight w:val="none"/>
                <w:lang w:val="en-US" w:eastAsia="zh-CN"/>
              </w:rPr>
              <w:t>3月的“目标考核表”</w:t>
            </w:r>
            <w:r>
              <w:rPr>
                <w:rFonts w:hint="default"/>
                <w:szCs w:val="22"/>
                <w:highlight w:val="none"/>
                <w:lang w:val="en-US" w:eastAsia="zh-CN"/>
              </w:rPr>
              <w:t>，显示目标均已全部完成。</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组织的岗位、职责和权限</w:t>
            </w:r>
          </w:p>
        </w:tc>
        <w:tc>
          <w:tcPr>
            <w:tcW w:w="1175"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5.3</w:t>
            </w:r>
          </w:p>
        </w:tc>
        <w:tc>
          <w:tcPr>
            <w:tcW w:w="10004" w:type="dxa"/>
          </w:tcPr>
          <w:p>
            <w:pPr>
              <w:spacing w:line="360" w:lineRule="auto"/>
              <w:ind w:firstLine="420" w:firstLineChars="200"/>
              <w:rPr>
                <w:rFonts w:hint="eastAsia"/>
                <w:szCs w:val="22"/>
                <w:highlight w:val="none"/>
                <w:lang w:val="zh-CN" w:eastAsia="zh-CN"/>
              </w:rPr>
            </w:pPr>
            <w:r>
              <w:rPr>
                <w:rFonts w:hint="eastAsia"/>
                <w:szCs w:val="22"/>
                <w:highlight w:val="none"/>
                <w:lang w:val="zh-CN"/>
              </w:rPr>
              <w:t>最高管理者</w:t>
            </w:r>
            <w:r>
              <w:rPr>
                <w:rFonts w:hint="eastAsia"/>
                <w:szCs w:val="22"/>
                <w:highlight w:val="none"/>
                <w:lang w:val="en-US" w:eastAsia="zh-CN"/>
              </w:rPr>
              <w:t>在管理手册中</w:t>
            </w:r>
            <w:r>
              <w:rPr>
                <w:rFonts w:hint="eastAsia"/>
                <w:szCs w:val="22"/>
                <w:highlight w:val="none"/>
                <w:lang w:val="zh-CN"/>
              </w:rPr>
              <w:t>明确了各部门和各岗位的职责和权限，以确保管理体系符合各项标准的要求，并确保各个过程获得其预期输出</w:t>
            </w:r>
            <w:r>
              <w:rPr>
                <w:rFonts w:hint="eastAsia"/>
                <w:szCs w:val="22"/>
                <w:highlight w:val="none"/>
                <w:lang w:val="zh-CN" w:eastAsia="zh-CN"/>
              </w:rPr>
              <w:t>。</w:t>
            </w:r>
          </w:p>
          <w:p>
            <w:pPr>
              <w:spacing w:line="360" w:lineRule="auto"/>
              <w:ind w:firstLine="420" w:firstLineChars="200"/>
              <w:rPr>
                <w:rFonts w:hint="eastAsia"/>
                <w:szCs w:val="22"/>
                <w:highlight w:val="none"/>
                <w:lang w:val="zh-CN"/>
              </w:rPr>
            </w:pPr>
            <w:r>
              <w:rPr>
                <w:rFonts w:hint="eastAsia"/>
                <w:szCs w:val="22"/>
                <w:highlight w:val="none"/>
                <w:lang w:val="en-US" w:eastAsia="zh-CN"/>
              </w:rPr>
              <w:t>经授权的分管领导</w:t>
            </w:r>
            <w:r>
              <w:rPr>
                <w:rFonts w:hint="eastAsia"/>
                <w:szCs w:val="22"/>
                <w:highlight w:val="none"/>
                <w:lang w:val="zh-CN"/>
              </w:rPr>
              <w:t>向最高管理者报告质量、环境、职业健康安全管理体系的绩效及改进机会，确保整个组织推动以顾客为关注焦点</w:t>
            </w:r>
            <w:r>
              <w:rPr>
                <w:rFonts w:hint="eastAsia"/>
                <w:szCs w:val="22"/>
                <w:highlight w:val="none"/>
                <w:lang w:val="zh-CN" w:eastAsia="zh-CN"/>
              </w:rPr>
              <w:t>、</w:t>
            </w:r>
            <w:r>
              <w:rPr>
                <w:rFonts w:hint="eastAsia"/>
                <w:szCs w:val="22"/>
                <w:highlight w:val="none"/>
                <w:lang w:val="en-US" w:eastAsia="zh-CN"/>
              </w:rPr>
              <w:t>保持环境管理和职业健康安全管理绩效</w:t>
            </w:r>
            <w:r>
              <w:rPr>
                <w:rFonts w:hint="eastAsia"/>
                <w:szCs w:val="22"/>
                <w:highlight w:val="none"/>
                <w:lang w:val="zh-CN"/>
              </w:rPr>
              <w:t>，确保在策划和实施管理体系变更时保持其完整性。</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公司设置有综合管理部、生产部。</w:t>
            </w:r>
          </w:p>
          <w:p>
            <w:pPr>
              <w:spacing w:line="360" w:lineRule="auto"/>
              <w:ind w:firstLine="420" w:firstLineChars="200"/>
              <w:rPr>
                <w:rFonts w:hint="eastAsia"/>
                <w:szCs w:val="22"/>
                <w:highlight w:val="none"/>
                <w:lang w:val="zh-CN"/>
              </w:rPr>
            </w:pPr>
            <w:r>
              <w:rPr>
                <w:rFonts w:hint="eastAsia"/>
                <w:szCs w:val="22"/>
                <w:highlight w:val="none"/>
                <w:lang w:val="zh-CN"/>
              </w:rPr>
              <w:t>经查每个部门均有部门职责和权限，各岗位的职责和权限、任职要求在《</w:t>
            </w:r>
            <w:r>
              <w:rPr>
                <w:rFonts w:hint="eastAsia"/>
                <w:szCs w:val="22"/>
                <w:highlight w:val="none"/>
                <w:lang w:val="en-US" w:eastAsia="zh-CN"/>
              </w:rPr>
              <w:t>管理手册</w:t>
            </w:r>
            <w:r>
              <w:rPr>
                <w:rFonts w:hint="eastAsia"/>
                <w:szCs w:val="22"/>
                <w:highlight w:val="none"/>
                <w:lang w:val="zh-CN"/>
              </w:rPr>
              <w:t>》中得到规定。</w:t>
            </w:r>
          </w:p>
          <w:p>
            <w:pPr>
              <w:spacing w:line="360" w:lineRule="auto"/>
              <w:ind w:firstLine="420" w:firstLineChars="200"/>
              <w:rPr>
                <w:rFonts w:hint="eastAsia"/>
                <w:szCs w:val="22"/>
                <w:highlight w:val="none"/>
                <w:lang w:val="zh-CN"/>
              </w:rPr>
            </w:pPr>
            <w:r>
              <w:rPr>
                <w:rFonts w:hint="eastAsia"/>
                <w:szCs w:val="22"/>
                <w:highlight w:val="none"/>
                <w:lang w:val="zh-CN"/>
              </w:rPr>
              <w:t>经查问组织内的职责和权限基本得到沟通，通过文件发布、传达、会议、培训等了解有关职责和权限。同总经理交谈，对于自身职责权限比较清楚。</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资源</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江西添瑞高分子新材料有限公司组建于2019年8月，注册资本1000万人民币。</w:t>
            </w:r>
          </w:p>
          <w:p>
            <w:pPr>
              <w:spacing w:line="360" w:lineRule="auto"/>
              <w:ind w:firstLine="420" w:firstLineChars="200"/>
              <w:rPr>
                <w:rFonts w:hint="eastAsia"/>
                <w:szCs w:val="22"/>
                <w:highlight w:val="none"/>
                <w:lang w:val="zh-CN"/>
              </w:rPr>
            </w:pPr>
            <w:r>
              <w:rPr>
                <w:rFonts w:hint="eastAsia"/>
                <w:szCs w:val="22"/>
                <w:highlight w:val="none"/>
                <w:lang w:val="en-US" w:eastAsia="zh-CN"/>
              </w:rPr>
              <w:t>公司注册地址：</w:t>
            </w:r>
            <w:r>
              <w:rPr>
                <w:rFonts w:hint="eastAsia"/>
                <w:szCs w:val="22"/>
                <w:highlight w:val="none"/>
                <w:lang w:val="zh-CN"/>
              </w:rPr>
              <w:t>江西省宜春市樟树市洲上乡工业园88号；</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生产经营地址：江西省宜春市樟树市张家山工业园区 园区中路。</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实际生产经营地址与注册地址不一致，详见变更传递单和信用信息系统查询截图。</w:t>
            </w:r>
          </w:p>
          <w:p>
            <w:pPr>
              <w:spacing w:line="360" w:lineRule="auto"/>
              <w:ind w:firstLine="420" w:firstLineChars="200"/>
              <w:rPr>
                <w:rFonts w:hint="eastAsia"/>
                <w:szCs w:val="22"/>
                <w:highlight w:val="none"/>
                <w:lang w:val="zh-CN"/>
              </w:rPr>
            </w:pPr>
            <w:r>
              <w:rPr>
                <w:rFonts w:hint="eastAsia"/>
                <w:szCs w:val="22"/>
                <w:highlight w:val="none"/>
                <w:lang w:val="zh-CN"/>
              </w:rPr>
              <w:t>公司占地面积2040平方米，厂房建筑面积为1805</w:t>
            </w:r>
            <w:r>
              <w:rPr>
                <w:rFonts w:hint="eastAsia"/>
                <w:szCs w:val="22"/>
                <w:highlight w:val="none"/>
                <w:lang w:val="en-US" w:eastAsia="zh-CN"/>
              </w:rPr>
              <w:t>平方米，</w:t>
            </w:r>
            <w:r>
              <w:rPr>
                <w:rFonts w:hint="eastAsia"/>
                <w:szCs w:val="22"/>
                <w:highlight w:val="none"/>
                <w:lang w:val="zh-CN"/>
              </w:rPr>
              <w:t>办公室建筑面积为</w:t>
            </w:r>
            <w:r>
              <w:rPr>
                <w:rFonts w:hint="eastAsia"/>
                <w:szCs w:val="22"/>
                <w:highlight w:val="none"/>
                <w:lang w:val="en-US" w:eastAsia="zh-CN"/>
              </w:rPr>
              <w:t>235平方米</w:t>
            </w:r>
            <w:r>
              <w:rPr>
                <w:rFonts w:hint="eastAsia"/>
                <w:szCs w:val="22"/>
                <w:highlight w:val="none"/>
                <w:lang w:val="zh-CN"/>
              </w:rPr>
              <w:t>。</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现有员工15人。</w:t>
            </w:r>
          </w:p>
          <w:p>
            <w:pPr>
              <w:spacing w:line="360" w:lineRule="auto"/>
              <w:ind w:firstLine="420" w:firstLineChars="200"/>
              <w:rPr>
                <w:rFonts w:hint="eastAsia"/>
                <w:szCs w:val="22"/>
                <w:highlight w:val="none"/>
                <w:lang w:val="zh-CN"/>
              </w:rPr>
            </w:pPr>
            <w:r>
              <w:rPr>
                <w:rFonts w:hint="eastAsia"/>
                <w:szCs w:val="22"/>
                <w:highlight w:val="none"/>
                <w:lang w:val="zh-CN"/>
              </w:rPr>
              <w:t>主要设备有高混机、冷混机、上料机、破碎机、挤出机、震动筛、破碎机、密炼机、</w:t>
            </w:r>
            <w:bookmarkStart w:id="0" w:name="_GoBack"/>
            <w:bookmarkEnd w:id="0"/>
            <w:r>
              <w:rPr>
                <w:rFonts w:hint="eastAsia"/>
                <w:szCs w:val="22"/>
                <w:highlight w:val="none"/>
                <w:lang w:val="zh-CN"/>
              </w:rPr>
              <w:t>注塑机、磨粉机等；</w:t>
            </w:r>
          </w:p>
          <w:p>
            <w:pPr>
              <w:spacing w:line="360" w:lineRule="auto"/>
              <w:ind w:firstLine="420" w:firstLineChars="200"/>
              <w:rPr>
                <w:rFonts w:hint="eastAsia"/>
                <w:szCs w:val="22"/>
                <w:highlight w:val="none"/>
                <w:lang w:val="zh-CN"/>
              </w:rPr>
            </w:pPr>
            <w:r>
              <w:rPr>
                <w:rFonts w:hint="eastAsia"/>
                <w:szCs w:val="22"/>
                <w:highlight w:val="none"/>
                <w:lang w:val="zh-CN"/>
              </w:rPr>
              <w:t>主要检测设备包括：游标卡尺、钢卷尺、</w:t>
            </w:r>
            <w:r>
              <w:rPr>
                <w:rFonts w:hint="eastAsia"/>
                <w:szCs w:val="22"/>
                <w:highlight w:val="none"/>
                <w:lang w:val="en-US" w:eastAsia="zh-CN"/>
              </w:rPr>
              <w:t>压力表、融指仪</w:t>
            </w:r>
            <w:r>
              <w:rPr>
                <w:rFonts w:hint="eastAsia"/>
                <w:szCs w:val="22"/>
                <w:highlight w:val="none"/>
                <w:lang w:val="zh-CN"/>
              </w:rPr>
              <w:t>等；</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主要环保设备包括：废气处理设施(布袋除尘装置、UV光解+二级活性炭吸附装置)和噪声、固废处置设施等；</w:t>
            </w:r>
          </w:p>
          <w:p>
            <w:pPr>
              <w:spacing w:line="360" w:lineRule="auto"/>
              <w:ind w:firstLine="420" w:firstLineChars="200"/>
              <w:rPr>
                <w:rFonts w:hint="default"/>
                <w:szCs w:val="22"/>
                <w:highlight w:val="none"/>
                <w:lang w:val="en-US" w:eastAsia="zh-CN"/>
              </w:rPr>
            </w:pPr>
            <w:r>
              <w:rPr>
                <w:rFonts w:hint="default"/>
                <w:szCs w:val="22"/>
                <w:highlight w:val="none"/>
                <w:lang w:val="en-US" w:eastAsia="zh-CN"/>
              </w:rPr>
              <w:t>确认公司目前人力资源、基础设施、销售人员、财力、信息等资源均能保证。公司</w:t>
            </w:r>
            <w:r>
              <w:rPr>
                <w:rFonts w:hint="eastAsia"/>
                <w:szCs w:val="22"/>
                <w:highlight w:val="none"/>
                <w:lang w:val="en-US" w:eastAsia="zh-CN"/>
              </w:rPr>
              <w:t>办公区域等</w:t>
            </w:r>
            <w:r>
              <w:rPr>
                <w:rFonts w:hint="default"/>
                <w:szCs w:val="22"/>
                <w:highlight w:val="none"/>
                <w:lang w:val="en-US" w:eastAsia="zh-CN"/>
              </w:rPr>
              <w:t>现场配备了灭火器等消防安全设备，能保证企业正常办公。</w:t>
            </w:r>
          </w:p>
          <w:p>
            <w:pPr>
              <w:spacing w:line="360" w:lineRule="auto"/>
              <w:ind w:firstLine="420" w:firstLineChars="200"/>
              <w:rPr>
                <w:rFonts w:hint="default"/>
                <w:szCs w:val="22"/>
                <w:highlight w:val="none"/>
                <w:lang w:val="en-US" w:eastAsia="zh-CN"/>
              </w:rPr>
            </w:pPr>
            <w:r>
              <w:rPr>
                <w:rFonts w:hint="default"/>
                <w:szCs w:val="22"/>
                <w:highlight w:val="none"/>
                <w:lang w:val="en-US" w:eastAsia="zh-CN"/>
              </w:rPr>
              <w:t>公司财务能保证质量、环境、职业健康安全工作的开展，确保相关资金及时投入。</w:t>
            </w:r>
          </w:p>
          <w:p>
            <w:pPr>
              <w:spacing w:line="360" w:lineRule="auto"/>
              <w:ind w:firstLine="420" w:firstLineChars="200"/>
              <w:rPr>
                <w:rFonts w:hint="default"/>
                <w:szCs w:val="22"/>
                <w:highlight w:val="none"/>
                <w:lang w:val="en-US" w:eastAsia="zh-CN"/>
              </w:rPr>
            </w:pPr>
            <w:r>
              <w:rPr>
                <w:rFonts w:hint="default"/>
                <w:szCs w:val="22"/>
                <w:highlight w:val="none"/>
                <w:lang w:val="en-US" w:eastAsia="zh-CN"/>
              </w:rPr>
              <w:t>基本能满足体系运行的要求。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45"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24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协商与参与</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O:5.4</w:t>
            </w:r>
          </w:p>
        </w:tc>
        <w:tc>
          <w:tcPr>
            <w:tcW w:w="10004" w:type="dxa"/>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总经理为协商、参与提供了时间、机会、培训、资源等保障，明确了沟通、协商、参与渠道，消除了障碍和壁垒。</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日常对于质量、环保方面的信息主要利用会议、培训、座谈、电话、网络、收文等方式进行内外部沟通和协商。</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szCs w:val="22"/>
                <w:highlight w:val="none"/>
                <w:lang w:val="zh-CN"/>
              </w:rPr>
            </w:pPr>
            <w:r>
              <w:rPr>
                <w:rFonts w:hint="eastAsia"/>
                <w:szCs w:val="22"/>
                <w:highlight w:val="none"/>
                <w:lang w:val="en-US" w:eastAsia="zh-CN"/>
              </w:rPr>
              <w:t>现有的沟通渠道和方法能满足要求。</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管理评审</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004" w:type="dxa"/>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保留管理评审计划、管理评审报告、管理评审会议纪要、签到表等；</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管理评审输入充分；</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管理评审结论：公司的管理体系的建立和运行是充分的、适宜的、有效的。</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改进措施要求：</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包括：节能降耗，减少生产车间和办公区域资源能源和办公器材消耗量，减排增效，确保环境卫生等2项内容；</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保留有“管理评审改进措施计划”。</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持续改进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10.3</w:t>
            </w:r>
          </w:p>
        </w:tc>
        <w:tc>
          <w:tcPr>
            <w:tcW w:w="10004" w:type="dxa"/>
          </w:tcPr>
          <w:p>
            <w:pPr>
              <w:spacing w:line="360" w:lineRule="auto"/>
              <w:ind w:firstLine="420" w:firstLineChars="200"/>
              <w:rPr>
                <w:rFonts w:hint="default"/>
                <w:szCs w:val="22"/>
                <w:highlight w:val="none"/>
                <w:lang w:val="en-US" w:eastAsia="zh-CN"/>
              </w:rPr>
            </w:pPr>
            <w:r>
              <w:rPr>
                <w:rFonts w:hint="eastAsia"/>
                <w:szCs w:val="22"/>
                <w:highlight w:val="none"/>
                <w:lang w:val="en-US" w:eastAsia="zh-CN"/>
              </w:rPr>
              <w:t>管理者代表根据总经理意图组织持续改进过程的策划工作，由综合管理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24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上次审核不符合项的验证</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上次审核（一阶段）时发现的问题，经此次审核现场验证已关闭，整改措施有效。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45"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验证企业相关资质证明的有效性</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spacing w:line="360" w:lineRule="auto"/>
              <w:ind w:firstLine="420" w:firstLineChars="200"/>
              <w:rPr>
                <w:rFonts w:hint="default"/>
                <w:szCs w:val="22"/>
                <w:highlight w:val="none"/>
                <w:lang w:val="en-US" w:eastAsia="zh-CN"/>
              </w:rPr>
            </w:pPr>
            <w:r>
              <w:rPr>
                <w:rFonts w:hint="eastAsia"/>
                <w:szCs w:val="22"/>
                <w:highlight w:val="none"/>
                <w:lang w:val="zh-CN"/>
              </w:rPr>
              <w:t>国家企业信用信息公示系统</w:t>
            </w:r>
            <w:r>
              <w:rPr>
                <w:rFonts w:hint="eastAsia"/>
                <w:szCs w:val="22"/>
                <w:highlight w:val="none"/>
                <w:lang w:val="en-US" w:eastAsia="zh-CN"/>
              </w:rPr>
              <w:t>查询结果：营业执照续存，无风险警示。查见营业执照，有效。</w:t>
            </w:r>
          </w:p>
        </w:tc>
        <w:tc>
          <w:tcPr>
            <w:tcW w:w="1585"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国家/地方监督抽查情况</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004" w:type="dxa"/>
            <w:vAlign w:val="center"/>
          </w:tcPr>
          <w:p>
            <w:pPr>
              <w:spacing w:line="360" w:lineRule="auto"/>
              <w:ind w:firstLine="420" w:firstLineChars="200"/>
              <w:rPr>
                <w:rFonts w:hint="default"/>
                <w:szCs w:val="22"/>
                <w:highlight w:val="none"/>
                <w:lang w:val="en-US" w:eastAsia="zh-CN"/>
              </w:rPr>
            </w:pPr>
            <w:r>
              <w:rPr>
                <w:rFonts w:hint="eastAsia"/>
                <w:szCs w:val="22"/>
                <w:highlight w:val="none"/>
                <w:lang w:val="en-US" w:eastAsia="zh-CN"/>
              </w:rPr>
              <w:t>顾客满意：公司目前只有一个客户，通过发放顾客满意度调查进行监测，2021年3月1-3日，发放调查表1份，经统计分析，顾客满意度为100分。</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自公司成立以来，行业主管部门和政府有关单位对公司进行检查时提出的小问题都能及时整改；目前没有相关行政主管部门的检查，在审核现场也未发现抽查、相关方投诉等情况。</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本周期未受到上级主管部门有关质量、环境的行政处罚，未发生相关方的投诉。</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暂时没有国家/地方抽查情况。</w:t>
            </w:r>
          </w:p>
        </w:tc>
        <w:tc>
          <w:tcPr>
            <w:tcW w:w="1585" w:type="dxa"/>
          </w:tcPr>
          <w:p>
            <w:pPr>
              <w:spacing w:line="360" w:lineRule="auto"/>
              <w:rPr>
                <w:rFonts w:hint="eastAsia" w:eastAsia="宋体"/>
                <w:lang w:val="en-US" w:eastAsia="zh-CN"/>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A4FAD"/>
    <w:rsid w:val="0A2F2AEB"/>
    <w:rsid w:val="11085277"/>
    <w:rsid w:val="14751702"/>
    <w:rsid w:val="16883B0C"/>
    <w:rsid w:val="29A82042"/>
    <w:rsid w:val="35573F8C"/>
    <w:rsid w:val="36221AE5"/>
    <w:rsid w:val="40BA733C"/>
    <w:rsid w:val="412C6AF2"/>
    <w:rsid w:val="4EB11A91"/>
    <w:rsid w:val="52D94DE2"/>
    <w:rsid w:val="586A25AC"/>
    <w:rsid w:val="5E992A4C"/>
    <w:rsid w:val="68111886"/>
    <w:rsid w:val="6A0103AE"/>
    <w:rsid w:val="6DDA7EB7"/>
    <w:rsid w:val="73D04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2021-05-14T05:42:54Z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