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0317-2021-EnMS</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苏州贝斯特装饰新材料有限公司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宋体" w:hAnsi="宋体" w:eastAsia="宋体" w:cs="宋体"/>
          <w:b/>
          <w:color w:val="000000"/>
          <w:sz w:val="32"/>
          <w:szCs w:val="32"/>
        </w:rPr>
        <w:t>■</w:t>
      </w:r>
      <w:r>
        <w:rPr>
          <w:rFonts w:hint="eastAsia" w:ascii="楷体" w:hAnsi="楷体" w:eastAsia="楷体"/>
          <w:b/>
          <w:color w:val="000000"/>
          <w:sz w:val="32"/>
          <w:szCs w:val="32"/>
          <w:lang w:val="en-US" w:eastAsia="zh-CN"/>
        </w:rPr>
        <w:t>能源</w:t>
      </w:r>
      <w:r>
        <w:rPr>
          <w:rFonts w:hint="eastAsia" w:ascii="楷体" w:hAnsi="楷体" w:eastAsia="楷体"/>
          <w:b/>
          <w:color w:val="000000"/>
          <w:sz w:val="32"/>
          <w:szCs w:val="32"/>
        </w:rPr>
        <w:t>管理体系（</w:t>
      </w:r>
      <w:r>
        <w:rPr>
          <w:rFonts w:ascii="楷体" w:hAnsi="楷体" w:eastAsia="楷体"/>
          <w:b/>
          <w:color w:val="000000"/>
          <w:sz w:val="32"/>
          <w:szCs w:val="32"/>
        </w:rPr>
        <w:t>E</w:t>
      </w:r>
      <w:r>
        <w:rPr>
          <w:rFonts w:hint="eastAsia" w:ascii="楷体" w:hAnsi="楷体" w:eastAsia="楷体"/>
          <w:b/>
          <w:color w:val="000000"/>
          <w:sz w:val="32"/>
          <w:szCs w:val="32"/>
          <w:lang w:val="en-US" w:eastAsia="zh-CN"/>
        </w:rPr>
        <w:t>n</w:t>
      </w:r>
      <w:r>
        <w:rPr>
          <w:rFonts w:ascii="楷体" w:hAnsi="楷体" w:eastAsia="楷体"/>
          <w:b/>
          <w:color w:val="000000"/>
          <w:sz w:val="32"/>
          <w:szCs w:val="32"/>
        </w:rPr>
        <w:t>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马佳</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2.3</w:t>
            </w: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能源管理体系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hint="default" w:ascii="宋体" w:eastAsia="宋体"/>
          <w:b/>
          <w:color w:val="000000"/>
          <w:sz w:val="20"/>
          <w:szCs w:val="20"/>
          <w:lang w:val="en-US" w:eastAsia="zh-CN"/>
        </w:rPr>
      </w:pPr>
      <w:bookmarkStart w:id="5" w:name="Q勾选Add1"/>
      <w:r>
        <w:rPr>
          <w:rFonts w:hint="eastAsia" w:ascii="宋体" w:hAnsi="宋体"/>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hint="eastAsia" w:ascii="宋体" w:hAnsi="宋体"/>
          <w:b/>
          <w:color w:val="000000"/>
          <w:sz w:val="20"/>
          <w:szCs w:val="20"/>
          <w:lang w:val="de-DE"/>
        </w:rPr>
        <w:t>□</w:t>
      </w:r>
      <w:bookmarkEnd w:id="6"/>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highlight w:val="yellow"/>
          <w:lang w:val="de-DE" w:eastAsia="zh-CN"/>
        </w:rPr>
        <w:t>☑</w:t>
      </w:r>
      <w:r>
        <w:rPr>
          <w:rFonts w:hint="eastAsia" w:ascii="宋体" w:hAnsi="宋体"/>
          <w:b/>
          <w:color w:val="000000"/>
          <w:sz w:val="20"/>
          <w:szCs w:val="20"/>
          <w:highlight w:val="yellow"/>
          <w:lang w:val="de-DE"/>
        </w:rPr>
        <w:t>ISO50001：2018标准</w:t>
      </w:r>
    </w:p>
    <w:p>
      <w:pPr>
        <w:spacing w:line="300" w:lineRule="auto"/>
        <w:ind w:left="420" w:leftChars="200"/>
        <w:rPr>
          <w:rFonts w:ascii="宋体"/>
          <w:b/>
          <w:color w:val="000000"/>
          <w:spacing w:val="-4"/>
          <w:sz w:val="20"/>
          <w:szCs w:val="20"/>
        </w:rPr>
      </w:pPr>
      <w:bookmarkStart w:id="7" w:name="S勾选Add1"/>
      <w:r>
        <w:rPr>
          <w:rFonts w:hint="eastAsia" w:ascii="宋体" w:hAnsi="宋体"/>
          <w:b/>
          <w:color w:val="000000"/>
          <w:sz w:val="20"/>
          <w:szCs w:val="20"/>
          <w:lang w:val="de-DE"/>
        </w:rPr>
        <w:t>□</w:t>
      </w:r>
      <w:bookmarkEnd w:id="7"/>
      <w:r>
        <w:rPr>
          <w:rFonts w:ascii="宋体" w:hAnsi="宋体"/>
          <w:b/>
          <w:color w:val="000000"/>
          <w:sz w:val="20"/>
          <w:szCs w:val="20"/>
          <w:lang w:val="de-DE"/>
        </w:rPr>
        <w:t xml:space="preserve">GB/28001-2011 </w:t>
      </w:r>
      <w:r>
        <w:rPr>
          <w:rFonts w:hint="eastAsia" w:ascii="宋体" w:hAnsi="宋体"/>
          <w:b/>
          <w:color w:val="000000"/>
          <w:sz w:val="20"/>
          <w:szCs w:val="20"/>
          <w:lang w:val="en-US" w:eastAsia="zh-CN"/>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w:t>
      </w:r>
      <w:r>
        <w:rPr>
          <w:rFonts w:hint="eastAsia" w:ascii="宋体" w:hAnsi="宋体"/>
          <w:b/>
          <w:color w:val="000000"/>
          <w:spacing w:val="-10"/>
          <w:sz w:val="20"/>
          <w:szCs w:val="20"/>
          <w:lang w:val="en-US" w:eastAsia="zh-CN"/>
        </w:rPr>
        <w:t xml:space="preserve">  </w:t>
      </w:r>
      <w:r>
        <w:rPr>
          <w:rFonts w:hint="eastAsia" w:ascii="宋体" w:hAnsi="宋体"/>
          <w:b/>
          <w:color w:val="000000"/>
          <w:spacing w:val="-10"/>
          <w:sz w:val="20"/>
          <w:szCs w:val="20"/>
        </w:rPr>
        <w:t>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8" w:name="组织名称Add2"/>
            <w:r>
              <w:rPr>
                <w:rFonts w:ascii="宋体"/>
                <w:b/>
                <w:color w:val="000000"/>
                <w:sz w:val="20"/>
                <w:szCs w:val="20"/>
              </w:rPr>
              <w:t>苏州贝斯特装饰新材料有限公司</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9" w:name="注册地址"/>
            <w:r>
              <w:rPr>
                <w:rFonts w:ascii="宋体"/>
                <w:b/>
                <w:color w:val="000000"/>
                <w:sz w:val="20"/>
                <w:szCs w:val="20"/>
              </w:rPr>
              <w:t>太仓市双凤镇新湖温州路22号</w:t>
            </w:r>
            <w:bookmarkEnd w:id="9"/>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0" w:name="注册邮编"/>
            <w:r>
              <w:rPr>
                <w:rFonts w:ascii="宋体"/>
                <w:b/>
                <w:color w:val="000000"/>
                <w:sz w:val="20"/>
                <w:szCs w:val="20"/>
              </w:rPr>
              <w:t>215416</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1" w:name="经营地址"/>
            <w:bookmarkEnd w:id="11"/>
            <w:r>
              <w:rPr>
                <w:rFonts w:ascii="宋体"/>
                <w:b/>
                <w:color w:val="000000"/>
                <w:sz w:val="20"/>
                <w:szCs w:val="20"/>
              </w:rPr>
              <w:t>太仓市双凤镇新湖温州路22号</w:t>
            </w:r>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hAnsi="Times New Roman" w:eastAsia="宋体" w:cs="Times New Roman"/>
                <w:b/>
                <w:color w:val="000000"/>
                <w:kern w:val="2"/>
                <w:sz w:val="20"/>
                <w:szCs w:val="20"/>
                <w:lang w:val="en-US" w:eastAsia="zh-CN" w:bidi="ar-SA"/>
              </w:rPr>
            </w:pPr>
            <w:bookmarkStart w:id="12" w:name="经营邮编"/>
            <w:bookmarkEnd w:id="12"/>
            <w:r>
              <w:rPr>
                <w:rFonts w:ascii="宋体"/>
                <w:b/>
                <w:color w:val="000000"/>
                <w:sz w:val="20"/>
                <w:szCs w:val="20"/>
              </w:rPr>
              <w:t>215416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3" w:name="生产地址Add1"/>
            <w:r>
              <w:rPr>
                <w:rFonts w:ascii="宋体"/>
                <w:b/>
                <w:color w:val="000000"/>
                <w:sz w:val="20"/>
                <w:szCs w:val="20"/>
              </w:rPr>
              <w:t>太仓市双凤镇新湖温州路22号</w:t>
            </w:r>
            <w:bookmarkEnd w:id="13"/>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4" w:name="生产邮编Add1"/>
            <w:r>
              <w:rPr>
                <w:rFonts w:ascii="宋体"/>
                <w:b/>
                <w:color w:val="000000"/>
                <w:sz w:val="20"/>
                <w:szCs w:val="20"/>
              </w:rPr>
              <w:t>215416</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5" w:name="联系人Add1"/>
            <w:r>
              <w:rPr>
                <w:rFonts w:ascii="宋体"/>
                <w:b/>
                <w:color w:val="000000"/>
                <w:sz w:val="20"/>
                <w:szCs w:val="20"/>
              </w:rPr>
              <w:t>匡青奇</w:t>
            </w:r>
            <w:bookmarkEnd w:id="15"/>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6" w:name="联系人电话Add1"/>
            <w:r>
              <w:rPr>
                <w:rFonts w:ascii="宋体"/>
                <w:b/>
                <w:color w:val="000000"/>
                <w:sz w:val="20"/>
                <w:szCs w:val="20"/>
              </w:rPr>
              <w:t>18915788552</w:t>
            </w:r>
            <w:bookmarkEnd w:id="16"/>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7" w:name="联系人传真Add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center"/>
              <w:rPr>
                <w:rFonts w:ascii="宋体"/>
                <w:b/>
                <w:color w:val="000000"/>
                <w:sz w:val="20"/>
                <w:szCs w:val="20"/>
              </w:rPr>
            </w:pPr>
            <w:bookmarkStart w:id="18" w:name="法人"/>
            <w:r>
              <w:rPr>
                <w:rFonts w:ascii="宋体"/>
                <w:b/>
                <w:color w:val="000000"/>
                <w:sz w:val="20"/>
                <w:szCs w:val="20"/>
              </w:rPr>
              <w:t>匡建武</w:t>
            </w:r>
            <w:bookmarkEnd w:id="18"/>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center"/>
          </w:tcPr>
          <w:p>
            <w:pPr>
              <w:jc w:val="center"/>
              <w:rPr>
                <w:rFonts w:ascii="宋体"/>
                <w:b/>
                <w:color w:val="000000"/>
                <w:sz w:val="20"/>
                <w:szCs w:val="20"/>
              </w:rPr>
            </w:pPr>
            <w:bookmarkStart w:id="19" w:name="管理者代表"/>
            <w:r>
              <w:rPr>
                <w:rFonts w:ascii="宋体"/>
                <w:b/>
                <w:color w:val="000000"/>
                <w:sz w:val="20"/>
                <w:szCs w:val="20"/>
              </w:rPr>
              <w:t>周梳</w:t>
            </w:r>
            <w:bookmarkEnd w:id="19"/>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0" w:name="联系人邮箱Add1"/>
            <w:r>
              <w:rPr>
                <w:rFonts w:ascii="宋体"/>
                <w:b/>
                <w:color w:val="000000"/>
                <w:sz w:val="20"/>
                <w:szCs w:val="20"/>
              </w:rPr>
              <w:t>qingqi.kuang@newbeston.com</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1" w:name="审核范围"/>
            <w:r>
              <w:rPr>
                <w:rFonts w:ascii="宋体" w:hAnsi="宋体"/>
                <w:b/>
                <w:color w:val="000000"/>
                <w:sz w:val="20"/>
                <w:szCs w:val="20"/>
              </w:rPr>
              <w:t>功能性树脂装饰材料的研发及生产所涉及的相关能源管理活动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2.3</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管理层、管理部、生产部、技术部、采购部、财务部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生产车间、办公楼</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lang w:val="en-US" w:eastAsia="zh-CN"/>
              </w:rPr>
              <w:t>能源</w:t>
            </w:r>
            <w:r>
              <w:rPr>
                <w:rFonts w:hint="eastAsia" w:ascii="宋体" w:hAnsi="宋体"/>
                <w:color w:val="000000"/>
                <w:spacing w:val="-10"/>
                <w:sz w:val="20"/>
                <w:szCs w:val="20"/>
              </w:rPr>
              <w:t>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lang w:val="en-US" w:eastAsia="zh-CN"/>
              </w:rPr>
              <w:t>能源</w:t>
            </w:r>
            <w:r>
              <w:rPr>
                <w:rFonts w:hint="eastAsia" w:ascii="宋体" w:hAnsi="宋体"/>
                <w:color w:val="000000"/>
                <w:sz w:val="20"/>
                <w:szCs w:val="20"/>
              </w:rPr>
              <w:t>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lang w:val="en-US" w:eastAsia="zh-CN"/>
              </w:rPr>
              <w:t>能源</w:t>
            </w:r>
            <w:r>
              <w:rPr>
                <w:rFonts w:hint="eastAsia" w:ascii="宋体" w:hAnsi="宋体"/>
                <w:color w:val="000000"/>
                <w:spacing w:val="-10"/>
                <w:sz w:val="20"/>
                <w:szCs w:val="20"/>
              </w:rPr>
              <w:t>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w:t>
            </w:r>
            <w:r>
              <w:rPr>
                <w:rFonts w:hint="eastAsia" w:ascii="宋体" w:hAnsi="宋体"/>
                <w:color w:val="000000"/>
                <w:sz w:val="20"/>
                <w:szCs w:val="20"/>
                <w:lang w:val="en-US" w:eastAsia="zh-CN"/>
              </w:rPr>
              <w:t>能源</w:t>
            </w:r>
            <w:r>
              <w:rPr>
                <w:rFonts w:hint="eastAsia" w:ascii="宋体" w:hAnsi="宋体"/>
                <w:color w:val="000000"/>
                <w:sz w:val="20"/>
                <w:szCs w:val="20"/>
              </w:rPr>
              <w:t>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lang w:val="en-US" w:eastAsia="zh-CN"/>
              </w:rPr>
              <w:t>能源</w:t>
            </w:r>
            <w:r>
              <w:rPr>
                <w:rFonts w:hint="eastAsia" w:ascii="宋体" w:hAnsi="宋体"/>
                <w:color w:val="000000"/>
                <w:sz w:val="20"/>
                <w:szCs w:val="20"/>
              </w:rPr>
              <w:t>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lang w:val="en-US" w:eastAsia="zh-CN"/>
              </w:rPr>
              <w:t>能源</w:t>
            </w:r>
            <w:r>
              <w:rPr>
                <w:rFonts w:hint="eastAsia" w:ascii="宋体" w:hAnsi="宋体"/>
                <w:color w:val="000000"/>
                <w:sz w:val="20"/>
                <w:szCs w:val="20"/>
              </w:rPr>
              <w:t>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功能性树脂装饰材料</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管理层、管理部、生产部、技术部、采购部、财务部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lang w:val="en-US" w:eastAsia="zh-CN"/>
              </w:rPr>
              <w:t>能源</w:t>
            </w:r>
            <w:r>
              <w:rPr>
                <w:rFonts w:hint="eastAsia" w:ascii="宋体" w:hAnsi="宋体"/>
                <w:b/>
                <w:color w:val="000000"/>
                <w:sz w:val="20"/>
                <w:szCs w:val="20"/>
              </w:rPr>
              <w:t>管理体系推进部门：</w:t>
            </w:r>
            <w:r>
              <w:rPr>
                <w:rFonts w:hint="eastAsia" w:ascii="宋体" w:hAnsi="宋体"/>
                <w:b/>
                <w:color w:val="000000"/>
                <w:sz w:val="20"/>
                <w:szCs w:val="20"/>
                <w:lang w:val="en-US" w:eastAsia="zh-CN"/>
              </w:rPr>
              <w:t>管理部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t>太仓市双凤镇新湖温州路22号</w:t>
            </w:r>
            <w:r>
              <w:rPr>
                <w:rFonts w:hint="eastAsia"/>
                <w:lang w:eastAsia="zh-CN"/>
              </w:rPr>
              <w:t>。</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hAnsi="宋体"/>
                <w:color w:val="000000"/>
                <w:sz w:val="20"/>
                <w:szCs w:val="20"/>
              </w:rPr>
              <w:t>有种产品，规格型号种有条生产线</w:t>
            </w:r>
            <w:r>
              <w:rPr>
                <w:rFonts w:hint="eastAsia" w:ascii="宋体" w:hAnsi="宋体"/>
                <w:color w:val="000000"/>
                <w:sz w:val="20"/>
                <w:szCs w:val="20"/>
                <w:lang w:eastAsia="zh-CN"/>
              </w:rPr>
              <w:t>：</w:t>
            </w:r>
            <w:r>
              <w:rPr>
                <w:rFonts w:hint="eastAsia" w:ascii="宋体" w:hAnsi="宋体"/>
                <w:szCs w:val="21"/>
              </w:rPr>
              <w:t>功能性树脂装饰材料</w:t>
            </w:r>
            <w:r>
              <w:rPr>
                <w:rFonts w:hint="eastAsia" w:ascii="宋体" w:hAnsi="宋体"/>
                <w:szCs w:val="21"/>
                <w:lang w:eastAsia="zh-CN"/>
              </w:rPr>
              <w:t>；</w:t>
            </w:r>
            <w:r>
              <w:rPr>
                <w:rFonts w:hint="eastAsia" w:ascii="宋体" w:hAnsi="宋体"/>
                <w:szCs w:val="21"/>
                <w:lang w:val="en-US" w:eastAsia="zh-CN"/>
              </w:rPr>
              <w:t>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lang w:eastAsia="zh-CN"/>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高新技术企业、TS16949认证证书。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bookmarkStart w:id="23" w:name="企业人数"/>
            <w:r>
              <w:rPr>
                <w:rFonts w:hint="eastAsia" w:ascii="宋体"/>
                <w:b/>
              </w:rPr>
              <w:t>328</w:t>
            </w:r>
            <w:bookmarkEnd w:id="23"/>
            <w:r>
              <w:rPr>
                <w:rFonts w:hint="eastAsia" w:ascii="宋体"/>
                <w:color w:val="000000"/>
                <w:sz w:val="20"/>
                <w:szCs w:val="20"/>
              </w:rPr>
              <w:t>人，其中管理人员：</w:t>
            </w:r>
            <w:r>
              <w:rPr>
                <w:rFonts w:hint="eastAsia" w:ascii="宋体"/>
                <w:color w:val="000000"/>
                <w:sz w:val="20"/>
                <w:szCs w:val="20"/>
                <w:lang w:val="en-US" w:eastAsia="zh-CN"/>
              </w:rPr>
              <w:t>45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highlight w:val="none"/>
              </w:rPr>
              <w:t>策划于</w:t>
            </w:r>
            <w:r>
              <w:rPr>
                <w:rFonts w:hint="eastAsia" w:ascii="Times New Roman" w:hAnsi="Times New Roman" w:eastAsia="宋体" w:cs="Times New Roman"/>
                <w:highlight w:val="none"/>
              </w:rPr>
              <w:t>2021年1月15-16日</w:t>
            </w:r>
            <w:r>
              <w:rPr>
                <w:rFonts w:hint="eastAsia"/>
                <w:highlight w:val="none"/>
              </w:rPr>
              <w:t>实施能源管理体系内部审核</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Times New Roman" w:hAnsi="Times New Roman" w:eastAsia="宋体" w:cs="Times New Roman"/>
                <w:highlight w:val="none"/>
                <w:lang w:val="en-US" w:eastAsia="zh-CN"/>
              </w:rPr>
              <w:t>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ascii="Times New Roman" w:hAnsi="Times New Roman" w:eastAsia="宋体" w:cs="Times New Roman"/>
                <w:highlight w:val="none"/>
                <w:lang w:val="en-US" w:eastAsia="zh-CN"/>
              </w:rPr>
              <w:t>公司的能源管理体系满足标准的要求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w:t>
            </w:r>
            <w:r>
              <w:rPr>
                <w:rFonts w:hint="eastAsia"/>
                <w:highlight w:val="none"/>
              </w:rPr>
              <w:t>在</w:t>
            </w:r>
            <w:r>
              <w:rPr>
                <w:rFonts w:hint="eastAsia"/>
                <w:highlight w:val="none"/>
                <w:lang w:val="en-US" w:eastAsia="zh-CN"/>
              </w:rPr>
              <w:t>2021</w:t>
            </w:r>
            <w:r>
              <w:rPr>
                <w:rFonts w:hint="eastAsia"/>
                <w:highlight w:val="none"/>
              </w:rPr>
              <w:t>年</w:t>
            </w:r>
            <w:r>
              <w:rPr>
                <w:rFonts w:hint="eastAsia"/>
                <w:highlight w:val="none"/>
                <w:lang w:val="en-US" w:eastAsia="zh-CN"/>
              </w:rPr>
              <w:t>1</w:t>
            </w:r>
            <w:r>
              <w:rPr>
                <w:rFonts w:hint="eastAsia"/>
                <w:highlight w:val="none"/>
              </w:rPr>
              <w:t xml:space="preserve"> 月 </w:t>
            </w:r>
            <w:r>
              <w:rPr>
                <w:rFonts w:hint="eastAsia"/>
                <w:highlight w:val="none"/>
                <w:lang w:val="en-US" w:eastAsia="zh-CN"/>
              </w:rPr>
              <w:t>29</w:t>
            </w:r>
            <w:r>
              <w:rPr>
                <w:rFonts w:hint="eastAsia"/>
                <w:highlight w:val="none"/>
              </w:rPr>
              <w:t xml:space="preserve"> 日</w:t>
            </w:r>
            <w:r>
              <w:rPr>
                <w:rFonts w:hint="eastAsia"/>
                <w:highlight w:val="none"/>
                <w:lang w:val="en-US" w:eastAsia="zh-CN"/>
              </w:rPr>
              <w:t>进行</w:t>
            </w:r>
            <w:r>
              <w:rPr>
                <w:rFonts w:hint="eastAsia"/>
                <w:highlight w:val="none"/>
              </w:rPr>
              <w:t>能源管理体系进行了评审</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Times New Roman" w:hAnsi="Times New Roman" w:eastAsia="宋体" w:cs="Times New Roman"/>
                <w:highlight w:val="none"/>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Times New Roman" w:hAnsi="Times New Roman" w:eastAsia="宋体" w:cs="Times New Roman"/>
                <w:highlight w:val="none"/>
                <w:lang w:val="en-US" w:eastAsia="zh-CN"/>
              </w:rPr>
              <w:t>公司的能源管理体系满足标准的要求。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default" w:ascii="宋体" w:eastAsia="宋体"/>
                <w:b/>
                <w:color w:val="000000"/>
                <w:szCs w:val="21"/>
                <w:lang w:val="en-US" w:eastAsia="zh-CN"/>
              </w:rPr>
            </w:pPr>
            <w:r>
              <w:rPr>
                <w:rFonts w:hint="eastAsia" w:ascii="Times New Roman" w:hAnsi="Times New Roman" w:eastAsia="宋体" w:cs="Times New Roman"/>
                <w:highlight w:val="none"/>
                <w:lang w:val="en-US" w:eastAsia="zh-CN"/>
              </w:rPr>
              <w:t>已经为二</w:t>
            </w:r>
            <w:bookmarkStart w:id="24" w:name="_GoBack"/>
            <w:bookmarkEnd w:id="24"/>
            <w:r>
              <w:rPr>
                <w:rFonts w:hint="eastAsia" w:ascii="Times New Roman" w:hAnsi="Times New Roman" w:eastAsia="宋体" w:cs="Times New Roman"/>
                <w:highlight w:val="none"/>
                <w:lang w:val="en-US" w:eastAsia="zh-CN"/>
              </w:rPr>
              <w:t>阶段审核做好准备。</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r>
              <w:rPr>
                <w:rFonts w:hint="eastAsia" w:ascii="宋体" w:hAnsi="宋体"/>
                <w:b/>
                <w:color w:val="000000"/>
                <w:sz w:val="20"/>
                <w:szCs w:val="20"/>
                <w:lang w:val="en-US" w:eastAsia="zh-CN"/>
              </w:rPr>
              <w:t>/</w:t>
            </w:r>
            <w:r>
              <w:rPr>
                <w:rFonts w:hint="eastAsia" w:ascii="宋体" w:hAnsi="宋体"/>
                <w:b/>
                <w:color w:val="000000"/>
                <w:spacing w:val="-10"/>
                <w:sz w:val="20"/>
                <w:szCs w:val="20"/>
                <w:lang w:val="de-DE" w:eastAsia="zh-CN"/>
              </w:rPr>
              <w:t>☑</w:t>
            </w:r>
            <w:r>
              <w:rPr>
                <w:rFonts w:ascii="宋体" w:hAnsi="宋体"/>
                <w:b/>
                <w:color w:val="000000"/>
                <w:sz w:val="20"/>
                <w:szCs w:val="20"/>
              </w:rPr>
              <w:t>E</w:t>
            </w:r>
            <w:r>
              <w:rPr>
                <w:rFonts w:hint="eastAsia" w:ascii="宋体" w:hAnsi="宋体"/>
                <w:b/>
                <w:color w:val="000000"/>
                <w:sz w:val="20"/>
                <w:szCs w:val="20"/>
                <w:lang w:val="en-US" w:eastAsia="zh-CN"/>
              </w:rPr>
              <w:t>n</w:t>
            </w:r>
            <w:r>
              <w:rPr>
                <w:rFonts w:ascii="宋体" w:hAnsi="宋体"/>
                <w:b/>
                <w:color w:val="000000"/>
                <w:sz w:val="20"/>
                <w:szCs w:val="20"/>
              </w:rPr>
              <w:t>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rPr>
          <w:rFonts w:hint="eastAsia" w:ascii="宋体" w:hAnsi="宋体"/>
        </w:rPr>
        <w:drawing>
          <wp:anchor distT="0" distB="0" distL="114300" distR="114300" simplePos="0" relativeHeight="251659264" behindDoc="0" locked="0" layoutInCell="1" allowOverlap="1">
            <wp:simplePos x="0" y="0"/>
            <wp:positionH relativeFrom="column">
              <wp:posOffset>2007235</wp:posOffset>
            </wp:positionH>
            <wp:positionV relativeFrom="page">
              <wp:posOffset>4968875</wp:posOffset>
            </wp:positionV>
            <wp:extent cx="480695" cy="427990"/>
            <wp:effectExtent l="0" t="0" r="1905" b="3810"/>
            <wp:wrapSquare wrapText="bothSides"/>
            <wp:docPr id="5"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553999692(1)"/>
                    <pic:cNvPicPr>
                      <a:picLocks noChangeAspect="1"/>
                    </pic:cNvPicPr>
                  </pic:nvPicPr>
                  <pic:blipFill>
                    <a:blip r:embed="rId6">
                      <a:lum bright="35999"/>
                    </a:blip>
                    <a:stretch>
                      <a:fillRect/>
                    </a:stretch>
                  </pic:blipFill>
                  <pic:spPr>
                    <a:xfrm>
                      <a:off x="0" y="0"/>
                      <a:ext cx="480695" cy="42799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default"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 xml:space="preserve">           </w:t>
      </w:r>
      <w:r>
        <w:drawing>
          <wp:anchor distT="0" distB="0" distL="114300" distR="114300" simplePos="0" relativeHeight="251660288" behindDoc="0" locked="0" layoutInCell="1" allowOverlap="1">
            <wp:simplePos x="0" y="0"/>
            <wp:positionH relativeFrom="column">
              <wp:posOffset>2604135</wp:posOffset>
            </wp:positionH>
            <wp:positionV relativeFrom="paragraph">
              <wp:posOffset>-381000</wp:posOffset>
            </wp:positionV>
            <wp:extent cx="730250" cy="584200"/>
            <wp:effectExtent l="0" t="0" r="635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730250" cy="584200"/>
                    </a:xfrm>
                    <a:prstGeom prst="rect">
                      <a:avLst/>
                    </a:prstGeom>
                    <a:noFill/>
                    <a:ln>
                      <a:noFill/>
                    </a:ln>
                  </pic:spPr>
                </pic:pic>
              </a:graphicData>
            </a:graphic>
          </wp:anchor>
        </w:drawing>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2021.5.8</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F64771"/>
    <w:rsid w:val="34CD45D7"/>
    <w:rsid w:val="51595B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2021-05-13T05:07:26Z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0F6214D470404AAEB179AB874E4D6AAE</vt:lpwstr>
  </property>
</Properties>
</file>