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北京领凡坤达信息科技有限公司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ISO45001：2018,HSE：Q/SY 1002.1-2013 &amp; SY/T 6276-2014</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0421-2021-QEO HSE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HSE健康安全环境管理体系：初次认证第（二）阶段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p>
            <w:pPr>
              <w:ind w:left="70" w:leftChars="29"/>
              <w:rPr>
                <w:rFonts w:hint="eastAsia"/>
                <w:sz w:val="22"/>
                <w:szCs w:val="22"/>
              </w:rPr>
            </w:pPr>
            <w:r>
              <w:rPr>
                <w:rFonts w:hint="eastAsia"/>
                <w:sz w:val="22"/>
                <w:szCs w:val="22"/>
              </w:rPr>
              <w:t>ISC-14142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2020-N1QMS-3201919</w:t>
            </w:r>
          </w:p>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2019-N1OHSMS-2201919</w:t>
            </w:r>
          </w:p>
          <w:p>
            <w:pPr>
              <w:ind w:left="70" w:leftChars="29"/>
              <w:rPr>
                <w:rFonts w:hint="eastAsia"/>
                <w:sz w:val="22"/>
                <w:szCs w:val="22"/>
              </w:rPr>
            </w:pPr>
            <w:r>
              <w:rPr>
                <w:rFonts w:hint="eastAsia"/>
                <w:sz w:val="22"/>
                <w:szCs w:val="22"/>
              </w:rPr>
              <w:t>ISC-201919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tcBorders/>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p>
            <w:pPr>
              <w:ind w:left="70" w:leftChars="29"/>
              <w:rPr>
                <w:rFonts w:hint="eastAsia"/>
                <w:sz w:val="22"/>
                <w:szCs w:val="22"/>
              </w:rPr>
            </w:pPr>
            <w:r>
              <w:rPr>
                <w:rFonts w:hint="eastAsia"/>
                <w:sz w:val="22"/>
                <w:szCs w:val="22"/>
              </w:rPr>
              <w:t>ISC-218164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EE3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2021-05-19T00:48:42Z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9489943FF86F43E684C0863FBA40AE80</vt:lpwstr>
  </property>
</Properties>
</file>