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A" w:rsidRDefault="00D326ED">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11"/>
        <w:gridCol w:w="10004"/>
        <w:gridCol w:w="1585"/>
      </w:tblGrid>
      <w:tr w:rsidR="007748FA">
        <w:trPr>
          <w:trHeight w:val="515"/>
        </w:trPr>
        <w:tc>
          <w:tcPr>
            <w:tcW w:w="1809" w:type="dxa"/>
            <w:vMerge w:val="restart"/>
            <w:vAlign w:val="center"/>
          </w:tcPr>
          <w:p w:rsidR="007748FA" w:rsidRDefault="00D326ED">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7748FA" w:rsidRDefault="00D326ED">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rsidR="007748FA" w:rsidRDefault="00D326ED" w:rsidP="00FC4DE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受审核部门：采购部  </w:t>
            </w:r>
            <w:r w:rsidR="00FC4DEC">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主管领导</w:t>
            </w:r>
            <w:r w:rsidR="00FC4DE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陪同人员：</w:t>
            </w:r>
            <w:r w:rsidR="00FC4DEC" w:rsidRPr="00FC4DEC">
              <w:rPr>
                <w:rFonts w:asciiTheme="minorEastAsia" w:eastAsiaTheme="minorEastAsia" w:hAnsiTheme="minorEastAsia" w:cstheme="minorEastAsia" w:hint="eastAsia"/>
                <w:sz w:val="24"/>
                <w:szCs w:val="24"/>
              </w:rPr>
              <w:t>黄娟</w:t>
            </w:r>
          </w:p>
        </w:tc>
        <w:tc>
          <w:tcPr>
            <w:tcW w:w="1585"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7748FA">
        <w:trPr>
          <w:trHeight w:val="403"/>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7748FA" w:rsidRDefault="00D326ED">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审核员： </w:t>
            </w:r>
            <w:r w:rsidR="00997C24">
              <w:rPr>
                <w:rFonts w:asciiTheme="minorEastAsia" w:eastAsiaTheme="minorEastAsia" w:hAnsiTheme="minorEastAsia" w:cstheme="minorEastAsia" w:hint="eastAsia"/>
                <w:sz w:val="24"/>
                <w:szCs w:val="24"/>
              </w:rPr>
              <w:t>文波</w:t>
            </w:r>
            <w:r>
              <w:rPr>
                <w:rFonts w:asciiTheme="minorEastAsia" w:eastAsiaTheme="minorEastAsia" w:hAnsiTheme="minorEastAsia" w:cstheme="minorEastAsia" w:hint="eastAsia"/>
                <w:sz w:val="24"/>
                <w:szCs w:val="24"/>
              </w:rPr>
              <w:t xml:space="preserve">   </w:t>
            </w:r>
            <w:r w:rsidR="00FC4DEC">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w:t>
            </w:r>
            <w:r w:rsidR="00E8501A">
              <w:rPr>
                <w:rFonts w:asciiTheme="minorEastAsia" w:eastAsiaTheme="minorEastAsia" w:hAnsiTheme="minorEastAsia" w:cstheme="minorEastAsia" w:hint="eastAsia"/>
                <w:sz w:val="24"/>
                <w:szCs w:val="24"/>
              </w:rPr>
              <w:t>2021.5</w:t>
            </w:r>
            <w:r>
              <w:rPr>
                <w:rFonts w:asciiTheme="minorEastAsia" w:eastAsiaTheme="minorEastAsia" w:hAnsiTheme="minorEastAsia" w:cstheme="minorEastAsia" w:hint="eastAsia"/>
                <w:sz w:val="24"/>
                <w:szCs w:val="24"/>
              </w:rPr>
              <w:t>.</w:t>
            </w:r>
            <w:r w:rsidR="00E8501A">
              <w:rPr>
                <w:rFonts w:asciiTheme="minorEastAsia" w:eastAsiaTheme="minorEastAsia" w:hAnsiTheme="minorEastAsia" w:cstheme="minorEastAsia" w:hint="eastAsia"/>
                <w:sz w:val="24"/>
                <w:szCs w:val="24"/>
              </w:rPr>
              <w:t>13</w:t>
            </w:r>
            <w:r w:rsidR="00B339C1">
              <w:rPr>
                <w:rFonts w:asciiTheme="minorEastAsia" w:eastAsiaTheme="minorEastAsia" w:hAnsiTheme="minorEastAsia" w:cstheme="minorEastAsia" w:hint="eastAsia"/>
                <w:sz w:val="24"/>
                <w:szCs w:val="24"/>
              </w:rPr>
              <w:t xml:space="preserve"> </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516"/>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E8501A" w:rsidRPr="00E8501A" w:rsidRDefault="00D326ED" w:rsidP="00E8501A">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w:t>
            </w:r>
            <w:r w:rsidR="00E8501A" w:rsidRPr="00E8501A">
              <w:rPr>
                <w:rFonts w:asciiTheme="minorEastAsia" w:eastAsiaTheme="minorEastAsia" w:hAnsiTheme="minorEastAsia" w:cstheme="minorEastAsia" w:hint="eastAsia"/>
                <w:sz w:val="24"/>
                <w:szCs w:val="24"/>
              </w:rPr>
              <w:t>QMS:5.3组织的岗位、职责和权限、6.2质量目标、8.4外部提供过程、产品和服务的控制、</w:t>
            </w:r>
          </w:p>
          <w:p w:rsidR="007748FA" w:rsidRDefault="00E8501A" w:rsidP="00E8501A">
            <w:pPr>
              <w:spacing w:before="120"/>
              <w:rPr>
                <w:rFonts w:asciiTheme="minorEastAsia" w:eastAsiaTheme="minorEastAsia" w:hAnsiTheme="minorEastAsia" w:cstheme="minorEastAsia"/>
                <w:sz w:val="24"/>
                <w:szCs w:val="24"/>
              </w:rPr>
            </w:pPr>
            <w:r w:rsidRPr="00E8501A">
              <w:rPr>
                <w:rFonts w:asciiTheme="minorEastAsia" w:eastAsiaTheme="minorEastAsia" w:hAnsiTheme="minorEastAsia" w:cstheme="minorEastAsia" w:hint="eastAsia"/>
                <w:sz w:val="24"/>
                <w:szCs w:val="24"/>
              </w:rPr>
              <w:t>EMS: 5.3组织的岗位、职责和权限、6.2环境目标、6.1.2环境因素、6.1.4措施的策划、8.1运行策划和控制、8.2应急准备和响应</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1255"/>
        </w:trPr>
        <w:tc>
          <w:tcPr>
            <w:tcW w:w="1809" w:type="dxa"/>
            <w:vAlign w:val="center"/>
          </w:tcPr>
          <w:p w:rsidR="007748FA" w:rsidRDefault="00D326E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Cs w:val="21"/>
              </w:rPr>
              <w:t>组织的岗位、职责和权限</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 5.3</w:t>
            </w:r>
          </w:p>
        </w:tc>
        <w:tc>
          <w:tcPr>
            <w:tcW w:w="10004" w:type="dxa"/>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现场审核过程了解到部门主要负责：</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A.负责与供方有关的过程控制；本部门环境因素的识别评价控制。</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B.负责采购控制，负责化学品采购、运输、存储、领用管理，预防紧急、潜在事故发生；</w:t>
            </w:r>
          </w:p>
          <w:p w:rsidR="007748FA" w:rsidRDefault="00D326ED">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C.负责宣传影响主要供应商及外包方等相关方的环境行为。</w:t>
            </w:r>
          </w:p>
          <w:p w:rsidR="007748FA" w:rsidRDefault="00D326E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经与经理交流发现其对部门职责权限基本掌握，部门职责得到合理分配，未发现因职责不清责任不明而造成体系运行失效的情况。</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20"/>
        </w:trPr>
        <w:tc>
          <w:tcPr>
            <w:tcW w:w="1809"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目标 </w:t>
            </w:r>
          </w:p>
        </w:tc>
        <w:tc>
          <w:tcPr>
            <w:tcW w:w="1311"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tc>
        <w:tc>
          <w:tcPr>
            <w:tcW w:w="10004"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tbl>
            <w:tblPr>
              <w:tblStyle w:val="a6"/>
              <w:tblW w:w="4998" w:type="pct"/>
              <w:tblLook w:val="04A0"/>
            </w:tblPr>
            <w:tblGrid>
              <w:gridCol w:w="2929"/>
              <w:gridCol w:w="3461"/>
              <w:gridCol w:w="2149"/>
              <w:gridCol w:w="1235"/>
            </w:tblGrid>
            <w:tr w:rsidR="007748FA">
              <w:tc>
                <w:tcPr>
                  <w:tcW w:w="1498"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1770"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p>
              </w:tc>
              <w:tc>
                <w:tcPr>
                  <w:tcW w:w="1099"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考核结果</w:t>
                  </w:r>
                </w:p>
              </w:tc>
              <w:tc>
                <w:tcPr>
                  <w:tcW w:w="632"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完成情况</w:t>
                  </w:r>
                </w:p>
              </w:tc>
            </w:tr>
            <w:tr w:rsidR="007748FA">
              <w:tc>
                <w:tcPr>
                  <w:tcW w:w="1498"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供方评定合格率100%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合格数量÷检查总数量×100%。</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供方评定合格100%</w:t>
                  </w:r>
                </w:p>
              </w:tc>
              <w:tc>
                <w:tcPr>
                  <w:tcW w:w="632" w:type="pct"/>
                </w:tcPr>
                <w:p w:rsidR="007748FA" w:rsidRDefault="00D326ED">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符合数量÷检查数量×100%。</w:t>
                  </w: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固废分类处置率100%</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火灾、触电事故发生次数为0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查看触电、火灾事故记录</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没有发生事故</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bl>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考核情况：经查</w:t>
            </w:r>
            <w:r w:rsidR="00E8501A">
              <w:rPr>
                <w:rFonts w:asciiTheme="minorEastAsia" w:eastAsiaTheme="minorEastAsia" w:hAnsiTheme="minorEastAsia" w:cstheme="minorEastAsia" w:hint="eastAsia"/>
                <w:sz w:val="24"/>
                <w:szCs w:val="24"/>
              </w:rPr>
              <w:t>2021.3</w:t>
            </w:r>
            <w:r>
              <w:rPr>
                <w:rFonts w:asciiTheme="minorEastAsia" w:eastAsiaTheme="minorEastAsia" w:hAnsiTheme="minorEastAsia" w:cstheme="minorEastAsia" w:hint="eastAsia"/>
                <w:sz w:val="24"/>
                <w:szCs w:val="24"/>
              </w:rPr>
              <w:t>.</w:t>
            </w:r>
            <w:r w:rsidR="00E8501A">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Cs w:val="21"/>
              </w:rPr>
              <w:t>质量\环境目标分解考核表已完成。</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997C24" w:rsidTr="00997C24">
        <w:trPr>
          <w:trHeight w:val="547"/>
        </w:trPr>
        <w:tc>
          <w:tcPr>
            <w:tcW w:w="1809" w:type="dxa"/>
          </w:tcPr>
          <w:p w:rsidR="00997C24" w:rsidRDefault="00997C24" w:rsidP="00922872">
            <w:r>
              <w:rPr>
                <w:rFonts w:hint="eastAsia"/>
              </w:rPr>
              <w:t>外部提供过程、产</w:t>
            </w:r>
            <w:r>
              <w:rPr>
                <w:rFonts w:hint="eastAsia"/>
              </w:rPr>
              <w:lastRenderedPageBreak/>
              <w:t>品和服务的控制</w:t>
            </w:r>
          </w:p>
        </w:tc>
        <w:tc>
          <w:tcPr>
            <w:tcW w:w="1311" w:type="dxa"/>
          </w:tcPr>
          <w:p w:rsidR="00997C24" w:rsidRDefault="00997C24" w:rsidP="00922872">
            <w:pPr>
              <w:rPr>
                <w:rFonts w:ascii="宋体" w:hAnsi="宋体" w:cs="Arial"/>
                <w:spacing w:val="-6"/>
                <w:szCs w:val="21"/>
              </w:rPr>
            </w:pPr>
            <w:r>
              <w:rPr>
                <w:rFonts w:ascii="宋体" w:hAnsi="宋体" w:cs="Arial" w:hint="eastAsia"/>
                <w:spacing w:val="-6"/>
                <w:szCs w:val="21"/>
              </w:rPr>
              <w:lastRenderedPageBreak/>
              <w:t>Q:8.4</w:t>
            </w:r>
          </w:p>
          <w:p w:rsidR="00997C24" w:rsidRDefault="00997C24" w:rsidP="00922872">
            <w:pPr>
              <w:rPr>
                <w:rFonts w:ascii="宋体" w:hAnsi="宋体" w:cs="Arial"/>
                <w:spacing w:val="-6"/>
                <w:szCs w:val="21"/>
              </w:rPr>
            </w:pPr>
          </w:p>
        </w:tc>
        <w:tc>
          <w:tcPr>
            <w:tcW w:w="10004" w:type="dxa"/>
          </w:tcPr>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编制有“采购控制程序”，有效文件；规定了供方选择评价和重新评价的方法和准则。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查见“供方调查评价表”，对供应商的：工商注册文件及相关资质证明、生产设备、生产场地及环境设施、技术力量和职工素质、检验机构及检测手段、有长期可靠的设备和原料供应、生产能力满足供货/施工满足交付要求、通信和交通运输条件等项目进行评价；</w:t>
            </w:r>
          </w:p>
          <w:p w:rsidR="00997C24" w:rsidRPr="00016DFC" w:rsidRDefault="00997C24" w:rsidP="00922872">
            <w:pPr>
              <w:adjustRightInd w:val="0"/>
              <w:snapToGrid w:val="0"/>
              <w:spacing w:line="360" w:lineRule="auto"/>
              <w:ind w:rightChars="50" w:right="105"/>
              <w:textAlignment w:val="baseline"/>
              <w:rPr>
                <w:rFonts w:ascii="宋体" w:hAnsi="宋体" w:cs="Arial"/>
                <w:spacing w:val="-6"/>
                <w:szCs w:val="21"/>
              </w:rPr>
            </w:pPr>
            <w:r w:rsidRPr="00016DFC">
              <w:rPr>
                <w:rFonts w:ascii="宋体" w:hAnsi="宋体" w:cs="Arial" w:hint="eastAsia"/>
                <w:spacing w:val="-6"/>
                <w:szCs w:val="21"/>
              </w:rPr>
              <w:t>抽见：</w:t>
            </w:r>
          </w:p>
          <w:p w:rsidR="00997C24" w:rsidRPr="00016DFC" w:rsidRDefault="00016DFC" w:rsidP="00922872">
            <w:pPr>
              <w:adjustRightInd w:val="0"/>
              <w:snapToGrid w:val="0"/>
              <w:spacing w:line="360" w:lineRule="auto"/>
              <w:ind w:rightChars="50" w:right="105"/>
              <w:textAlignment w:val="baseline"/>
              <w:rPr>
                <w:rFonts w:ascii="宋体" w:hAnsi="宋体" w:cs="Arial"/>
                <w:spacing w:val="-6"/>
                <w:szCs w:val="21"/>
              </w:rPr>
            </w:pPr>
            <w:r w:rsidRPr="00016DFC">
              <w:rPr>
                <w:rFonts w:ascii="Arial" w:hAnsi="宋体" w:cs="Arial" w:hint="eastAsia"/>
                <w:bCs/>
              </w:rPr>
              <w:t>南昌华辉木业有限公司</w:t>
            </w:r>
            <w:r w:rsidR="00997C24" w:rsidRPr="00016DFC">
              <w:rPr>
                <w:rFonts w:ascii="宋体" w:hAnsi="宋体" w:cs="Arial" w:hint="eastAsia"/>
                <w:spacing w:val="-6"/>
                <w:szCs w:val="21"/>
              </w:rPr>
              <w:t>-</w:t>
            </w:r>
            <w:r w:rsidRPr="00016DFC">
              <w:rPr>
                <w:rFonts w:ascii="Arial" w:hAnsi="宋体" w:cs="Arial" w:hint="eastAsia"/>
                <w:bCs/>
              </w:rPr>
              <w:t>生态衫木板浮雕面等</w:t>
            </w:r>
            <w:r w:rsidR="00997C24" w:rsidRPr="00016DFC">
              <w:rPr>
                <w:rFonts w:ascii="宋体" w:hAnsi="宋体" w:cs="Arial" w:hint="eastAsia"/>
                <w:spacing w:val="-6"/>
                <w:szCs w:val="21"/>
              </w:rPr>
              <w:t>-评审结论：同意继续列入合格供方名录内；批准</w:t>
            </w:r>
            <w:r w:rsidRPr="00016DFC">
              <w:rPr>
                <w:rFonts w:hint="eastAsia"/>
              </w:rPr>
              <w:t>熊焰鸣</w:t>
            </w:r>
            <w:r w:rsidR="00997C24" w:rsidRPr="00016DFC">
              <w:rPr>
                <w:rFonts w:ascii="宋体" w:hAnsi="宋体" w:cs="Arial" w:hint="eastAsia"/>
                <w:spacing w:val="-6"/>
                <w:szCs w:val="21"/>
              </w:rPr>
              <w:t>；</w:t>
            </w:r>
          </w:p>
          <w:p w:rsidR="00997C24" w:rsidRPr="00016DFC" w:rsidRDefault="00016DFC" w:rsidP="00922872">
            <w:pPr>
              <w:adjustRightInd w:val="0"/>
              <w:snapToGrid w:val="0"/>
              <w:spacing w:line="360" w:lineRule="auto"/>
              <w:ind w:rightChars="50" w:right="105"/>
              <w:textAlignment w:val="baseline"/>
              <w:rPr>
                <w:rFonts w:ascii="宋体" w:hAnsi="宋体" w:cs="Arial"/>
                <w:spacing w:val="-6"/>
                <w:szCs w:val="21"/>
              </w:rPr>
            </w:pPr>
            <w:r w:rsidRPr="00016DFC">
              <w:rPr>
                <w:rFonts w:ascii="宋体" w:hint="eastAsia"/>
              </w:rPr>
              <w:t>江西锐克斯科技有限公司</w:t>
            </w:r>
            <w:r w:rsidR="00997C24" w:rsidRPr="00016DFC">
              <w:rPr>
                <w:rFonts w:ascii="宋体" w:hAnsi="宋体" w:cs="Arial" w:hint="eastAsia"/>
                <w:spacing w:val="-6"/>
                <w:szCs w:val="21"/>
              </w:rPr>
              <w:t>-</w:t>
            </w:r>
            <w:r w:rsidRPr="00016DFC">
              <w:rPr>
                <w:rFonts w:ascii="宋体" w:cs="宋体" w:hint="eastAsia"/>
              </w:rPr>
              <w:t>粉末涂料</w:t>
            </w:r>
            <w:r w:rsidR="00997C24" w:rsidRPr="00016DFC">
              <w:rPr>
                <w:rFonts w:ascii="宋体" w:hAnsi="宋体" w:cs="Arial" w:hint="eastAsia"/>
                <w:spacing w:val="-6"/>
                <w:szCs w:val="21"/>
              </w:rPr>
              <w:t>-</w:t>
            </w:r>
            <w:r w:rsidRPr="00016DFC">
              <w:rPr>
                <w:rFonts w:ascii="宋体" w:hAnsi="宋体" w:cs="Arial" w:hint="eastAsia"/>
                <w:spacing w:val="-6"/>
                <w:szCs w:val="21"/>
              </w:rPr>
              <w:t>评审结论：同意继续列入合格供方名录内；批准</w:t>
            </w:r>
            <w:r w:rsidRPr="00016DFC">
              <w:rPr>
                <w:rFonts w:hint="eastAsia"/>
              </w:rPr>
              <w:t>熊焰鸣</w:t>
            </w:r>
            <w:r w:rsidRPr="00016DFC">
              <w:rPr>
                <w:rFonts w:ascii="宋体" w:hAnsi="宋体" w:cs="Arial" w:hint="eastAsia"/>
                <w:spacing w:val="-6"/>
                <w:szCs w:val="21"/>
              </w:rPr>
              <w:t>；</w:t>
            </w:r>
          </w:p>
          <w:p w:rsidR="00997C24" w:rsidRPr="00016DFC" w:rsidRDefault="00016DFC" w:rsidP="00922872">
            <w:pPr>
              <w:adjustRightInd w:val="0"/>
              <w:snapToGrid w:val="0"/>
              <w:spacing w:line="360" w:lineRule="auto"/>
              <w:ind w:rightChars="50" w:right="105"/>
              <w:textAlignment w:val="baseline"/>
              <w:rPr>
                <w:rFonts w:ascii="宋体" w:hAnsi="宋体" w:cs="Arial"/>
                <w:spacing w:val="-6"/>
                <w:szCs w:val="21"/>
              </w:rPr>
            </w:pPr>
            <w:r w:rsidRPr="00016DFC">
              <w:rPr>
                <w:rFonts w:ascii="宋体" w:hint="eastAsia"/>
              </w:rPr>
              <w:t>江西金阳钢艺有限公司</w:t>
            </w:r>
            <w:r w:rsidR="00997C24" w:rsidRPr="00016DFC">
              <w:rPr>
                <w:rFonts w:ascii="宋体" w:hAnsi="宋体" w:cs="Arial" w:hint="eastAsia"/>
                <w:spacing w:val="-6"/>
                <w:szCs w:val="21"/>
              </w:rPr>
              <w:t>-</w:t>
            </w:r>
            <w:r w:rsidRPr="00016DFC">
              <w:rPr>
                <w:rFonts w:ascii="Arial" w:hAnsi="宋体" w:cs="Arial"/>
              </w:rPr>
              <w:t>冷轧钢板</w:t>
            </w:r>
            <w:r w:rsidR="00997C24" w:rsidRPr="00016DFC">
              <w:rPr>
                <w:rFonts w:ascii="宋体" w:hAnsi="宋体" w:cs="Arial" w:hint="eastAsia"/>
                <w:spacing w:val="-6"/>
                <w:szCs w:val="21"/>
              </w:rPr>
              <w:t>-</w:t>
            </w:r>
            <w:r w:rsidRPr="00016DFC">
              <w:rPr>
                <w:rFonts w:ascii="宋体" w:hAnsi="宋体" w:cs="Arial" w:hint="eastAsia"/>
                <w:spacing w:val="-6"/>
                <w:szCs w:val="21"/>
              </w:rPr>
              <w:t>评审结论：同意继续列入合格供方名录内；批准</w:t>
            </w:r>
            <w:r w:rsidRPr="00016DFC">
              <w:rPr>
                <w:rFonts w:hint="eastAsia"/>
              </w:rPr>
              <w:t>熊焰鸣</w:t>
            </w:r>
            <w:r w:rsidRPr="00016DFC">
              <w:rPr>
                <w:rFonts w:ascii="宋体" w:hAnsi="宋体" w:cs="Arial" w:hint="eastAsia"/>
                <w:spacing w:val="-6"/>
                <w:szCs w:val="21"/>
              </w:rPr>
              <w:t>；</w:t>
            </w:r>
          </w:p>
          <w:p w:rsidR="00997C24" w:rsidRPr="00016DFC" w:rsidRDefault="00016DFC" w:rsidP="00997C24">
            <w:pPr>
              <w:adjustRightInd w:val="0"/>
              <w:snapToGrid w:val="0"/>
              <w:spacing w:line="360" w:lineRule="auto"/>
              <w:ind w:rightChars="50" w:right="105"/>
              <w:textAlignment w:val="baseline"/>
              <w:rPr>
                <w:rFonts w:ascii="宋体" w:hAnsi="宋体" w:cs="Arial"/>
                <w:spacing w:val="-6"/>
                <w:szCs w:val="21"/>
              </w:rPr>
            </w:pPr>
            <w:r w:rsidRPr="00016DFC">
              <w:rPr>
                <w:rFonts w:ascii="宋体" w:hint="eastAsia"/>
              </w:rPr>
              <w:t>霸州市上源金属制品有限公司</w:t>
            </w:r>
            <w:r w:rsidR="00997C24" w:rsidRPr="00016DFC">
              <w:rPr>
                <w:rFonts w:ascii="宋体" w:hAnsi="宋体" w:cs="Arial" w:hint="eastAsia"/>
                <w:spacing w:val="-6"/>
                <w:szCs w:val="21"/>
              </w:rPr>
              <w:t>-</w:t>
            </w:r>
            <w:r w:rsidRPr="00016DFC">
              <w:rPr>
                <w:rFonts w:ascii="宋体" w:hAnsi="宋体" w:cs="Arial" w:hint="eastAsia"/>
                <w:spacing w:val="-6"/>
                <w:szCs w:val="21"/>
              </w:rPr>
              <w:t>钢管</w:t>
            </w:r>
            <w:r w:rsidR="00997C24" w:rsidRPr="00016DFC">
              <w:rPr>
                <w:rFonts w:ascii="宋体" w:hAnsi="宋体" w:cs="Arial" w:hint="eastAsia"/>
                <w:spacing w:val="-6"/>
                <w:szCs w:val="21"/>
              </w:rPr>
              <w:t>-</w:t>
            </w:r>
            <w:r w:rsidRPr="00016DFC">
              <w:rPr>
                <w:rFonts w:ascii="宋体" w:hAnsi="宋体" w:cs="Arial" w:hint="eastAsia"/>
                <w:spacing w:val="-6"/>
                <w:szCs w:val="21"/>
              </w:rPr>
              <w:t>评审结论：同意继续列入合格供方名录内；批准</w:t>
            </w:r>
            <w:r w:rsidRPr="00016DFC">
              <w:rPr>
                <w:rFonts w:hint="eastAsia"/>
              </w:rPr>
              <w:t>熊焰鸣</w:t>
            </w:r>
            <w:r w:rsidRPr="00016DFC">
              <w:rPr>
                <w:rFonts w:ascii="宋体" w:hAnsi="宋体" w:cs="Arial" w:hint="eastAsia"/>
                <w:spacing w:val="-6"/>
                <w:szCs w:val="21"/>
              </w:rPr>
              <w:t>；</w:t>
            </w:r>
          </w:p>
          <w:p w:rsidR="00997C24" w:rsidRPr="00016DFC" w:rsidRDefault="00997C24" w:rsidP="00922872">
            <w:pPr>
              <w:adjustRightInd w:val="0"/>
              <w:snapToGrid w:val="0"/>
              <w:spacing w:line="360" w:lineRule="auto"/>
              <w:ind w:rightChars="50" w:right="105"/>
              <w:textAlignment w:val="baseline"/>
              <w:rPr>
                <w:rFonts w:ascii="宋体" w:hAnsi="宋体" w:cs="Arial"/>
                <w:spacing w:val="-6"/>
                <w:szCs w:val="21"/>
              </w:rPr>
            </w:pPr>
            <w:r w:rsidRPr="00016DFC">
              <w:rPr>
                <w:rFonts w:ascii="宋体" w:hAnsi="宋体" w:cs="Arial" w:hint="eastAsia"/>
                <w:spacing w:val="-6"/>
                <w:szCs w:val="21"/>
              </w:rPr>
              <w:t>查见“合格供应商名录”，登记了经评价合格的供应商的原材料名称、联系人电话、地址等信息，上述4家均在合格供方名录之内。</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sidRPr="00016DFC">
              <w:rPr>
                <w:rFonts w:ascii="宋体" w:hAnsi="宋体" w:cs="Arial" w:hint="eastAsia"/>
                <w:spacing w:val="-6"/>
                <w:szCs w:val="21"/>
              </w:rPr>
              <w:t>查见采购合同</w:t>
            </w:r>
            <w:r w:rsidR="00685071" w:rsidRPr="00016DFC">
              <w:rPr>
                <w:rFonts w:ascii="宋体" w:hAnsi="宋体" w:cs="Arial" w:hint="eastAsia"/>
                <w:spacing w:val="-6"/>
                <w:szCs w:val="21"/>
              </w:rPr>
              <w:t>/订单</w:t>
            </w:r>
            <w:r w:rsidRPr="00016DFC">
              <w:rPr>
                <w:rFonts w:ascii="宋体" w:hAnsi="宋体" w:cs="Arial" w:hint="eastAsia"/>
                <w:spacing w:val="-6"/>
                <w:szCs w:val="21"/>
              </w:rPr>
              <w:t>，抽见：</w:t>
            </w:r>
          </w:p>
          <w:p w:rsidR="00685071" w:rsidRDefault="00685071"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冷轧钢板采购订单-与新干县川耀新能源</w:t>
            </w:r>
            <w:r>
              <w:rPr>
                <w:rFonts w:ascii="宋体" w:hAnsi="宋体" w:cs="Arial" w:hint="eastAsia"/>
                <w:spacing w:val="-6"/>
                <w:szCs w:val="21"/>
              </w:rPr>
              <w:t>有限公司签订，2021.4.3签订；明确了规格型号数量单价金额、交付方式、运输、交提货、违约责任等，双方签字盖章。</w:t>
            </w:r>
          </w:p>
          <w:p w:rsidR="00997C24" w:rsidRDefault="00685071"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杉木床板采购订单</w:t>
            </w:r>
            <w:r w:rsidR="00997C24">
              <w:rPr>
                <w:rFonts w:ascii="宋体" w:hAnsi="宋体" w:cs="Arial" w:hint="eastAsia"/>
                <w:spacing w:val="-6"/>
                <w:szCs w:val="21"/>
              </w:rPr>
              <w:t>-</w:t>
            </w:r>
            <w:r>
              <w:rPr>
                <w:rFonts w:ascii="宋体" w:hAnsi="宋体" w:cs="Arial" w:hint="eastAsia"/>
                <w:spacing w:val="-6"/>
                <w:szCs w:val="21"/>
              </w:rPr>
              <w:t>与江西乐友有限公司</w:t>
            </w:r>
            <w:r w:rsidR="00997C24">
              <w:rPr>
                <w:rFonts w:ascii="宋体" w:hAnsi="宋体" w:cs="Arial" w:hint="eastAsia"/>
                <w:spacing w:val="-6"/>
                <w:szCs w:val="21"/>
              </w:rPr>
              <w:t>签订，</w:t>
            </w:r>
            <w:r>
              <w:rPr>
                <w:rFonts w:ascii="宋体" w:hAnsi="宋体" w:cs="Arial" w:hint="eastAsia"/>
                <w:spacing w:val="-6"/>
                <w:szCs w:val="21"/>
              </w:rPr>
              <w:t>2021.5.5</w:t>
            </w:r>
            <w:r w:rsidR="00997C24">
              <w:rPr>
                <w:rFonts w:ascii="宋体" w:hAnsi="宋体" w:cs="Arial" w:hint="eastAsia"/>
                <w:spacing w:val="-6"/>
                <w:szCs w:val="21"/>
              </w:rPr>
              <w:t>签订；明确了规格型</w:t>
            </w:r>
            <w:r>
              <w:rPr>
                <w:rFonts w:ascii="宋体" w:hAnsi="宋体" w:cs="Arial" w:hint="eastAsia"/>
                <w:spacing w:val="-6"/>
                <w:szCs w:val="21"/>
              </w:rPr>
              <w:t>号数量单价金额、交付方式、运输、交提货、违约责任等，双方签字</w:t>
            </w:r>
            <w:r w:rsidR="00997C24">
              <w:rPr>
                <w:rFonts w:ascii="宋体" w:hAnsi="宋体" w:cs="Arial" w:hint="eastAsia"/>
                <w:spacing w:val="-6"/>
                <w:szCs w:val="21"/>
              </w:rPr>
              <w:t>；</w:t>
            </w:r>
          </w:p>
          <w:p w:rsidR="00685071" w:rsidRDefault="00685071" w:rsidP="006850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生物质颗粒采购合同-与江西锐克斯科技有限公司签订，2021.3.31，明确了名称、材质、规格、数量、单价、质量标准、交提货地点方式、结算、违约责任等，双方签字盖章；</w:t>
            </w:r>
          </w:p>
          <w:p w:rsidR="00A00DD4" w:rsidRDefault="00A00DD4" w:rsidP="00A00DD4">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方管</w:t>
            </w:r>
            <w:r>
              <w:rPr>
                <w:rFonts w:ascii="宋体" w:hAnsi="宋体" w:cs="Arial" w:hint="eastAsia"/>
                <w:spacing w:val="-6"/>
                <w:szCs w:val="21"/>
              </w:rPr>
              <w:t>/圆管</w:t>
            </w:r>
            <w:r>
              <w:rPr>
                <w:rFonts w:ascii="宋体" w:hAnsi="宋体" w:cs="Arial"/>
                <w:spacing w:val="-6"/>
                <w:szCs w:val="21"/>
              </w:rPr>
              <w:t>采购订单-与霸州民强制管有限公司</w:t>
            </w:r>
            <w:r>
              <w:rPr>
                <w:rFonts w:ascii="宋体" w:hAnsi="宋体" w:cs="Arial" w:hint="eastAsia"/>
                <w:spacing w:val="-6"/>
                <w:szCs w:val="21"/>
              </w:rPr>
              <w:t>签订，2021.4.28签订；明确了规格型号数量单价金额、交付方式、运输、交提货、违约责任等，双方签字。</w:t>
            </w:r>
          </w:p>
          <w:p w:rsidR="00685071" w:rsidRDefault="00685071" w:rsidP="006850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桌面板、靠板采购订单-与江西乐友有限公司签订，2020.10.12签订；明确了规格型号数量单价金额、交付方式、运输、交提货、违约责任等，双方签字；</w:t>
            </w:r>
          </w:p>
          <w:p w:rsidR="00685071" w:rsidRDefault="00685071" w:rsidP="00685071">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生态杉木板浮雕面采购订单—与华辉木业公司签订，2021.04.06签订；明确了规格型号数量单价金额、交付方式、运输、交提货、违约责任等，双方签字；</w:t>
            </w:r>
          </w:p>
          <w:p w:rsidR="00880A0D" w:rsidRDefault="00685071" w:rsidP="00A00D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塑粉</w:t>
            </w:r>
            <w:r w:rsidR="00997C24">
              <w:rPr>
                <w:rFonts w:ascii="宋体" w:hAnsi="宋体" w:cs="Arial" w:hint="eastAsia"/>
                <w:spacing w:val="-6"/>
                <w:szCs w:val="21"/>
              </w:rPr>
              <w:t>采购合同-</w:t>
            </w:r>
            <w:r>
              <w:rPr>
                <w:rFonts w:ascii="宋体" w:hAnsi="宋体" w:cs="Arial" w:hint="eastAsia"/>
                <w:spacing w:val="-6"/>
                <w:szCs w:val="21"/>
              </w:rPr>
              <w:t>与江西锐克斯科技</w:t>
            </w:r>
            <w:r w:rsidR="00997C24">
              <w:rPr>
                <w:rFonts w:ascii="宋体" w:hAnsi="宋体" w:cs="Arial" w:hint="eastAsia"/>
                <w:spacing w:val="-6"/>
                <w:szCs w:val="21"/>
              </w:rPr>
              <w:t>有限公司签订，</w:t>
            </w:r>
            <w:r>
              <w:rPr>
                <w:rFonts w:ascii="宋体" w:hAnsi="宋体" w:cs="Arial" w:hint="eastAsia"/>
                <w:spacing w:val="-6"/>
                <w:szCs w:val="21"/>
              </w:rPr>
              <w:t>2021.3.31</w:t>
            </w:r>
            <w:r w:rsidR="00997C24">
              <w:rPr>
                <w:rFonts w:ascii="宋体" w:hAnsi="宋体" w:cs="Arial" w:hint="eastAsia"/>
                <w:spacing w:val="-6"/>
                <w:szCs w:val="21"/>
              </w:rPr>
              <w:t>，明</w:t>
            </w:r>
            <w:r>
              <w:rPr>
                <w:rFonts w:ascii="宋体" w:hAnsi="宋体" w:cs="Arial" w:hint="eastAsia"/>
                <w:spacing w:val="-6"/>
                <w:szCs w:val="21"/>
              </w:rPr>
              <w:t>确了名称、材质、规格、数量、单价、质量标准、交提货地点方式</w:t>
            </w:r>
            <w:r w:rsidR="00997C24">
              <w:rPr>
                <w:rFonts w:ascii="宋体" w:hAnsi="宋体" w:cs="Arial" w:hint="eastAsia"/>
                <w:spacing w:val="-6"/>
                <w:szCs w:val="21"/>
              </w:rPr>
              <w:t>、结算、违约责任等，双方</w:t>
            </w:r>
            <w:r w:rsidR="00880A0D">
              <w:rPr>
                <w:rFonts w:ascii="宋体" w:hAnsi="宋体" w:cs="Arial" w:hint="eastAsia"/>
                <w:spacing w:val="-6"/>
                <w:szCs w:val="21"/>
              </w:rPr>
              <w:t>签字</w:t>
            </w:r>
            <w:r w:rsidR="00997C24">
              <w:rPr>
                <w:rFonts w:ascii="宋体" w:hAnsi="宋体" w:cs="Arial" w:hint="eastAsia"/>
                <w:spacing w:val="-6"/>
                <w:szCs w:val="21"/>
              </w:rPr>
              <w:t>盖章；</w:t>
            </w:r>
            <w:r w:rsidR="00A00DD4">
              <w:rPr>
                <w:rFonts w:ascii="宋体" w:hAnsi="宋体" w:cs="Arial"/>
                <w:spacing w:val="-6"/>
                <w:szCs w:val="21"/>
              </w:rPr>
              <w:t xml:space="preserve"> </w:t>
            </w:r>
          </w:p>
          <w:p w:rsidR="00997C24" w:rsidRDefault="00997C24" w:rsidP="00922872">
            <w:pPr>
              <w:adjustRightInd w:val="0"/>
              <w:snapToGrid w:val="0"/>
              <w:spacing w:line="360" w:lineRule="auto"/>
              <w:ind w:rightChars="50" w:right="105"/>
              <w:textAlignment w:val="baseline"/>
              <w:rPr>
                <w:rFonts w:ascii="宋体" w:hAnsi="宋体" w:cs="Arial"/>
                <w:color w:val="FF0000"/>
                <w:spacing w:val="-6"/>
                <w:szCs w:val="21"/>
              </w:rPr>
            </w:pPr>
            <w:r>
              <w:rPr>
                <w:rFonts w:ascii="宋体" w:hAnsi="宋体" w:cs="Arial" w:hint="eastAsia"/>
                <w:color w:val="FF0000"/>
                <w:spacing w:val="-6"/>
                <w:szCs w:val="21"/>
              </w:rPr>
              <w:t>采购合同中未明确安全和环保相关内容，交流；</w:t>
            </w:r>
          </w:p>
          <w:p w:rsidR="00880A0D"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提供上述产品“入库单”，</w:t>
            </w:r>
            <w:r w:rsidR="00A00DD4">
              <w:rPr>
                <w:rFonts w:ascii="宋体" w:hAnsi="宋体" w:cs="Arial" w:hint="eastAsia"/>
                <w:spacing w:val="-6"/>
                <w:szCs w:val="21"/>
              </w:rPr>
              <w:t>核准吕小军</w:t>
            </w:r>
            <w:r w:rsidR="00997C24" w:rsidRPr="00364265">
              <w:rPr>
                <w:rFonts w:ascii="宋体" w:hAnsi="宋体" w:cs="Arial" w:hint="eastAsia"/>
                <w:spacing w:val="-6"/>
                <w:szCs w:val="21"/>
              </w:rPr>
              <w:t>。</w:t>
            </w:r>
          </w:p>
          <w:p w:rsidR="00997C24"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提供“进货检验记录”，</w:t>
            </w:r>
            <w:r w:rsidR="00A00DD4">
              <w:rPr>
                <w:rFonts w:asciiTheme="minorEastAsia" w:eastAsiaTheme="minorEastAsia" w:hAnsiTheme="minorEastAsia" w:cstheme="minorEastAsia" w:hint="eastAsia"/>
                <w:szCs w:val="21"/>
              </w:rPr>
              <w:t>采购产品验证通常采取查验产品外观、性能的方式，具体详见质检部</w:t>
            </w:r>
            <w:r w:rsidR="00997C24">
              <w:rPr>
                <w:rFonts w:asciiTheme="minorEastAsia" w:eastAsiaTheme="minorEastAsia" w:hAnsiTheme="minorEastAsia" w:cstheme="minorEastAsia" w:hint="eastAsia"/>
                <w:szCs w:val="21"/>
              </w:rPr>
              <w:t>审核记录。</w:t>
            </w:r>
          </w:p>
        </w:tc>
        <w:tc>
          <w:tcPr>
            <w:tcW w:w="1585" w:type="dxa"/>
          </w:tcPr>
          <w:p w:rsidR="00997C24" w:rsidRDefault="00880A0D">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054E02" w:rsidTr="001A02EF">
        <w:trPr>
          <w:trHeight w:val="1968"/>
        </w:trPr>
        <w:tc>
          <w:tcPr>
            <w:tcW w:w="1809" w:type="dxa"/>
          </w:tcPr>
          <w:p w:rsidR="00054E02" w:rsidRDefault="00054E02" w:rsidP="00922872">
            <w:r>
              <w:rPr>
                <w:rFonts w:hint="eastAsia"/>
              </w:rPr>
              <w:lastRenderedPageBreak/>
              <w:t>环境因素</w:t>
            </w:r>
            <w:r>
              <w:rPr>
                <w:rFonts w:hint="eastAsia"/>
              </w:rPr>
              <w:t>/</w:t>
            </w:r>
            <w:r>
              <w:rPr>
                <w:rFonts w:hint="eastAsia"/>
              </w:rPr>
              <w:t>危险源识别与风险评价</w:t>
            </w:r>
          </w:p>
          <w:p w:rsidR="00054E02" w:rsidRDefault="00054E02" w:rsidP="00922872">
            <w:r>
              <w:rPr>
                <w:rFonts w:hint="eastAsia"/>
              </w:rPr>
              <w:t>措施的策划</w:t>
            </w:r>
          </w:p>
        </w:tc>
        <w:tc>
          <w:tcPr>
            <w:tcW w:w="1311" w:type="dxa"/>
          </w:tcPr>
          <w:p w:rsidR="00054E02" w:rsidRDefault="00E8501A" w:rsidP="00922872">
            <w:pPr>
              <w:jc w:val="center"/>
              <w:rPr>
                <w:rFonts w:ascii="宋体" w:hAnsi="宋体" w:cs="Arial"/>
                <w:spacing w:val="-6"/>
                <w:szCs w:val="21"/>
              </w:rPr>
            </w:pPr>
            <w:r>
              <w:rPr>
                <w:rFonts w:ascii="宋体" w:hAnsi="宋体" w:cs="Arial" w:hint="eastAsia"/>
                <w:spacing w:val="-6"/>
                <w:szCs w:val="21"/>
              </w:rPr>
              <w:t>E</w:t>
            </w:r>
            <w:r w:rsidR="00054E02">
              <w:rPr>
                <w:rFonts w:ascii="宋体" w:hAnsi="宋体" w:cs="Arial" w:hint="eastAsia"/>
                <w:spacing w:val="-6"/>
                <w:szCs w:val="21"/>
              </w:rPr>
              <w:t>:6.1.2</w:t>
            </w:r>
          </w:p>
          <w:p w:rsidR="00054E02" w:rsidRDefault="00054E02" w:rsidP="00922872">
            <w:pPr>
              <w:jc w:val="center"/>
              <w:rPr>
                <w:rFonts w:ascii="宋体" w:hAnsi="宋体" w:cs="Arial"/>
                <w:spacing w:val="-6"/>
                <w:szCs w:val="21"/>
              </w:rPr>
            </w:pPr>
            <w:r>
              <w:rPr>
                <w:rFonts w:ascii="宋体" w:hAnsi="宋体" w:cs="Arial" w:hint="eastAsia"/>
                <w:spacing w:val="-6"/>
                <w:szCs w:val="21"/>
              </w:rPr>
              <w:t>6.1.4</w:t>
            </w:r>
          </w:p>
        </w:tc>
        <w:tc>
          <w:tcPr>
            <w:tcW w:w="10004" w:type="dxa"/>
          </w:tcPr>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编制“环境因素和危险源识别评价与控制程序”，有效文件；</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查见“环境因素识别与评价表”，行政办公区域辨识了办公、生活场所的生活垃圾、纸张使用、废灯管、墨盒、水电使用、火灾影响等项环境因素；辨识基本符合。</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打分法评价，重要环境因素：火灾、固废排放。</w:t>
            </w:r>
          </w:p>
          <w:p w:rsidR="00054E02" w:rsidRDefault="00054E02" w:rsidP="00054E02">
            <w:pPr>
              <w:spacing w:line="360" w:lineRule="auto"/>
              <w:ind w:firstLineChars="200" w:firstLine="420"/>
              <w:rPr>
                <w:rFonts w:ascii="宋体" w:cs="楷体"/>
                <w:szCs w:val="21"/>
              </w:rPr>
            </w:pPr>
            <w:r>
              <w:rPr>
                <w:rFonts w:ascii="宋体" w:hAnsi="宋体" w:cs="楷体" w:hint="eastAsia"/>
                <w:szCs w:val="21"/>
              </w:rPr>
              <w:t>控制措施：固废分类存放、垃圾等由办公室负责按规定处置，包装物分类卖掉，日常检查、培训教育，配备有消防器材、制定应急预案等措施。</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查见管理方案，对固体废弃物分类处置、火灾、触电等策划了了管理目标和控制措施，基本符合。</w:t>
            </w:r>
          </w:p>
        </w:tc>
        <w:tc>
          <w:tcPr>
            <w:tcW w:w="1585" w:type="dxa"/>
          </w:tcPr>
          <w:p w:rsidR="00054E02" w:rsidRPr="00054E02" w:rsidRDefault="00054E02">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55"/>
        </w:trPr>
        <w:tc>
          <w:tcPr>
            <w:tcW w:w="1809" w:type="dxa"/>
            <w:vAlign w:val="center"/>
          </w:tcPr>
          <w:p w:rsidR="007748FA" w:rsidRDefault="00D326E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运行策划和控制</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E8.1</w:t>
            </w:r>
          </w:p>
        </w:tc>
        <w:tc>
          <w:tcPr>
            <w:tcW w:w="10004"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1.编制并实施了环境、职业健康安全控制程序和管理制度。</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2.公司通</w:t>
            </w:r>
            <w:r w:rsidR="00E8501A">
              <w:rPr>
                <w:rFonts w:asciiTheme="minorEastAsia" w:eastAsiaTheme="minorEastAsia" w:hAnsiTheme="minorEastAsia" w:cstheme="minorEastAsia" w:hint="eastAsia"/>
                <w:szCs w:val="21"/>
              </w:rPr>
              <w:t>过各部门申报采购计划批准后进行采购，流程是申报计划→评审</w:t>
            </w:r>
            <w:r>
              <w:rPr>
                <w:rFonts w:asciiTheme="minorEastAsia" w:eastAsiaTheme="minorEastAsia" w:hAnsiTheme="minorEastAsia" w:cstheme="minorEastAsia" w:hint="eastAsia"/>
                <w:szCs w:val="21"/>
              </w:rPr>
              <w:t>批准→签订合同→采购。</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3.公司目前采购的主要原材料有</w:t>
            </w:r>
            <w:r>
              <w:rPr>
                <w:rFonts w:asciiTheme="minorEastAsia" w:eastAsiaTheme="minorEastAsia" w:hAnsiTheme="minorEastAsia" w:cstheme="minorEastAsia" w:hint="eastAsia"/>
                <w:bCs/>
                <w:szCs w:val="21"/>
              </w:rPr>
              <w:t>：</w:t>
            </w:r>
            <w:r w:rsidR="00E8501A">
              <w:rPr>
                <w:rFonts w:asciiTheme="minorEastAsia" w:eastAsiaTheme="minorEastAsia" w:hAnsiTheme="minorEastAsia" w:cstheme="minorEastAsia" w:hint="eastAsia"/>
                <w:bCs/>
                <w:szCs w:val="21"/>
              </w:rPr>
              <w:t>钢板、钢管、木板、塑粉、木工加工产品（如桌面等）等，</w:t>
            </w:r>
            <w:r w:rsidR="00054E02">
              <w:rPr>
                <w:rFonts w:asciiTheme="minorEastAsia" w:eastAsiaTheme="minorEastAsia" w:hAnsiTheme="minorEastAsia" w:cstheme="minorEastAsia" w:hint="eastAsia"/>
                <w:bCs/>
                <w:szCs w:val="21"/>
              </w:rPr>
              <w:t>以上产品全部由厂家提供，均有</w:t>
            </w:r>
            <w:r>
              <w:rPr>
                <w:rFonts w:asciiTheme="minorEastAsia" w:eastAsiaTheme="minorEastAsia" w:hAnsiTheme="minorEastAsia" w:cstheme="minorEastAsia" w:hint="eastAsia"/>
                <w:bCs/>
                <w:szCs w:val="21"/>
              </w:rPr>
              <w:t>检验报告。</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4.本部门办公中所使用的</w:t>
            </w:r>
            <w:r w:rsidR="00E8501A">
              <w:rPr>
                <w:rFonts w:asciiTheme="minorEastAsia" w:eastAsiaTheme="minorEastAsia" w:hAnsiTheme="minorEastAsia" w:cstheme="minorEastAsia" w:hint="eastAsia"/>
                <w:szCs w:val="21"/>
              </w:rPr>
              <w:t>办公用品均由公司行政部负责统一打印、复印，产生的废弃物，由行政部</w:t>
            </w:r>
            <w:r>
              <w:rPr>
                <w:rFonts w:asciiTheme="minorEastAsia" w:eastAsiaTheme="minorEastAsia" w:hAnsiTheme="minorEastAsia" w:cstheme="minorEastAsia" w:hint="eastAsia"/>
                <w:szCs w:val="21"/>
              </w:rPr>
              <w:t>统一处理。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5.对可回收的固体废弃物，一部分由厂家回收，厂家不回收的公司</w:t>
            </w:r>
            <w:r w:rsidR="00E8501A">
              <w:rPr>
                <w:rFonts w:asciiTheme="minorEastAsia" w:eastAsiaTheme="minorEastAsia" w:hAnsiTheme="minorEastAsia" w:cstheme="minorEastAsia" w:hint="eastAsia"/>
                <w:szCs w:val="21"/>
              </w:rPr>
              <w:t>统一回收再利用或由物资回收公司处理，</w:t>
            </w:r>
            <w:r w:rsidR="00E8501A">
              <w:rPr>
                <w:rFonts w:asciiTheme="minorEastAsia" w:eastAsiaTheme="minorEastAsia" w:hAnsiTheme="minorEastAsia" w:cstheme="minorEastAsia" w:hint="eastAsia"/>
                <w:szCs w:val="21"/>
              </w:rPr>
              <w:lastRenderedPageBreak/>
              <w:t>不可回收的废弃物由公司行政部</w:t>
            </w:r>
            <w:r>
              <w:rPr>
                <w:rFonts w:asciiTheme="minorEastAsia" w:eastAsiaTheme="minorEastAsia" w:hAnsiTheme="minorEastAsia" w:cstheme="minorEastAsia" w:hint="eastAsia"/>
                <w:szCs w:val="21"/>
              </w:rPr>
              <w:t>统一处理，部门不单独处理。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对危险废弃物（废活性炭）建立单独的危废存放室，并与有资质的危废处理单位签订危险废物委托处理意向协议，定期对危险废物进行处置。</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6.办公室和仓库内主要是电的使用，电器有漏电保护器，经常对电路、电源进行检查，没有露电现象发生，查见有消防安全检查记录，</w:t>
            </w:r>
            <w:r w:rsidR="00E8501A">
              <w:rPr>
                <w:rFonts w:asciiTheme="minorEastAsia" w:eastAsiaTheme="minorEastAsia" w:hAnsiTheme="minorEastAsia" w:cstheme="minorEastAsia" w:hint="eastAsia"/>
                <w:szCs w:val="21"/>
              </w:rPr>
              <w:t>2020.12</w:t>
            </w:r>
            <w:r>
              <w:rPr>
                <w:rFonts w:asciiTheme="minorEastAsia" w:eastAsiaTheme="minorEastAsia" w:hAnsiTheme="minorEastAsia" w:cstheme="minorEastAsia" w:hint="eastAsia"/>
                <w:szCs w:val="21"/>
              </w:rPr>
              <w:t>月</w:t>
            </w:r>
            <w:r w:rsidR="00054E02">
              <w:rPr>
                <w:rFonts w:asciiTheme="minorEastAsia" w:eastAsiaTheme="minorEastAsia" w:hAnsiTheme="minorEastAsia" w:cstheme="minorEastAsia" w:hint="eastAsia"/>
                <w:szCs w:val="21"/>
              </w:rPr>
              <w:t>---2021.4</w:t>
            </w:r>
            <w:r>
              <w:rPr>
                <w:rFonts w:asciiTheme="minorEastAsia" w:eastAsiaTheme="minorEastAsia" w:hAnsiTheme="minorEastAsia" w:cstheme="minorEastAsia" w:hint="eastAsia"/>
                <w:szCs w:val="21"/>
              </w:rPr>
              <w:t>月份检查结果正常。</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7.提供重要相关方施加影响一览表，</w:t>
            </w:r>
            <w:r w:rsidR="00054E02">
              <w:rPr>
                <w:rFonts w:asciiTheme="minorEastAsia" w:eastAsiaTheme="minorEastAsia" w:hAnsiTheme="minorEastAsia" w:cstheme="minorEastAsia" w:hint="eastAsia"/>
                <w:szCs w:val="21"/>
              </w:rPr>
              <w:t>202</w:t>
            </w:r>
            <w:r w:rsidR="00E8501A">
              <w:rPr>
                <w:rFonts w:asciiTheme="minorEastAsia" w:eastAsiaTheme="minorEastAsia" w:hAnsiTheme="minorEastAsia" w:cstheme="minorEastAsia" w:hint="eastAsia"/>
                <w:szCs w:val="21"/>
              </w:rPr>
              <w:t>0.12</w:t>
            </w:r>
            <w:r w:rsidR="00054E02">
              <w:rPr>
                <w:rFonts w:asciiTheme="minorEastAsia" w:eastAsiaTheme="minorEastAsia" w:hAnsiTheme="minorEastAsia" w:cstheme="minorEastAsia" w:hint="eastAsia"/>
                <w:szCs w:val="21"/>
              </w:rPr>
              <w:t>.</w:t>
            </w:r>
            <w:r w:rsidR="00E8501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3日</w:t>
            </w:r>
            <w:r w:rsidRPr="00054E02">
              <w:rPr>
                <w:rFonts w:asciiTheme="minorEastAsia" w:eastAsiaTheme="minorEastAsia" w:hAnsiTheme="minorEastAsia" w:cstheme="minorEastAsia" w:hint="eastAsia"/>
                <w:szCs w:val="21"/>
              </w:rPr>
              <w:t>对</w:t>
            </w:r>
            <w:r w:rsidR="004E07A0" w:rsidRPr="00054E02">
              <w:rPr>
                <w:rFonts w:asciiTheme="minorEastAsia" w:eastAsiaTheme="minorEastAsia" w:hAnsiTheme="minorEastAsia" w:cstheme="minorEastAsia" w:hint="eastAsia"/>
                <w:szCs w:val="21"/>
              </w:rPr>
              <w:t>采购物资相关方、销售客户、周边社区施加影响</w:t>
            </w:r>
            <w:r>
              <w:rPr>
                <w:rFonts w:asciiTheme="minorEastAsia" w:eastAsiaTheme="minorEastAsia" w:hAnsiTheme="minorEastAsia" w:cstheme="minorEastAsia" w:hint="eastAsia"/>
                <w:szCs w:val="21"/>
              </w:rPr>
              <w:t>，内容:将公司的环境/职业健康安全方针、重要环境因素/危险源等，通过传真发函的方式通知对方。</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8.采购部向供应商发放《相关方告之书》，显示的内容中包括本公司采购产品的理化性能造成的环境影响或可能造成的影响，对使用该种物料的员工的要求，供应商在运输这些物料所使</w:t>
            </w:r>
            <w:r w:rsidR="00054E02">
              <w:rPr>
                <w:rFonts w:asciiTheme="minorEastAsia" w:eastAsiaTheme="minorEastAsia" w:hAnsiTheme="minorEastAsia" w:cstheme="minorEastAsia" w:hint="eastAsia"/>
                <w:szCs w:val="21"/>
              </w:rPr>
              <w:t>用的贮存容器、运输方式对环境和职业健康的影响，到本公司减速慢行</w:t>
            </w:r>
            <w:r>
              <w:rPr>
                <w:rFonts w:asciiTheme="minorEastAsia" w:eastAsiaTheme="minorEastAsia" w:hAnsiTheme="minorEastAsia" w:cstheme="minorEastAsia" w:hint="eastAsia"/>
                <w:szCs w:val="21"/>
              </w:rPr>
              <w:t>等。</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9.对供应商施加影响还包括在评定供应商时，获取质量、环境、职业健康安全管理体系证书则优先，产品必须用环保无毒无害材料、无尖角毛刺等措施。</w:t>
            </w:r>
          </w:p>
          <w:p w:rsidR="007748FA" w:rsidRDefault="00054E0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运行策划基本充分，符合</w:t>
            </w:r>
            <w:r w:rsidR="00D326ED">
              <w:rPr>
                <w:rFonts w:asciiTheme="minorEastAsia" w:eastAsiaTheme="minorEastAsia" w:hAnsiTheme="minorEastAsia" w:cstheme="minorEastAsia" w:hint="eastAsia"/>
                <w:szCs w:val="21"/>
              </w:rPr>
              <w:t>要求。</w:t>
            </w:r>
          </w:p>
        </w:tc>
        <w:tc>
          <w:tcPr>
            <w:tcW w:w="1585" w:type="dxa"/>
          </w:tcPr>
          <w:p w:rsidR="007748FA" w:rsidRDefault="007748FA">
            <w:pPr>
              <w:rPr>
                <w:rFonts w:asciiTheme="minorEastAsia" w:eastAsiaTheme="minorEastAsia" w:hAnsiTheme="minorEastAsia" w:cstheme="minorEastAsia"/>
                <w:sz w:val="24"/>
                <w:szCs w:val="24"/>
              </w:rPr>
            </w:pPr>
          </w:p>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tc>
      </w:tr>
      <w:tr w:rsidR="00054E02" w:rsidTr="00CF0CA2">
        <w:trPr>
          <w:trHeight w:val="1968"/>
        </w:trPr>
        <w:tc>
          <w:tcPr>
            <w:tcW w:w="1809" w:type="dxa"/>
          </w:tcPr>
          <w:p w:rsidR="00054E02" w:rsidRPr="0099522F" w:rsidRDefault="00054E02" w:rsidP="00922872">
            <w:pPr>
              <w:spacing w:line="360" w:lineRule="auto"/>
              <w:rPr>
                <w:rFonts w:eastAsiaTheme="minorEastAsia" w:hAnsiTheme="minorEastAsia"/>
                <w:bCs/>
                <w:szCs w:val="24"/>
              </w:rPr>
            </w:pPr>
            <w:r w:rsidRPr="0099522F">
              <w:rPr>
                <w:rFonts w:eastAsiaTheme="minorEastAsia" w:hAnsiTheme="minorEastAsia" w:hint="eastAsia"/>
                <w:bCs/>
                <w:szCs w:val="24"/>
              </w:rPr>
              <w:lastRenderedPageBreak/>
              <w:t>应急准备和响应</w:t>
            </w:r>
          </w:p>
        </w:tc>
        <w:tc>
          <w:tcPr>
            <w:tcW w:w="1311" w:type="dxa"/>
          </w:tcPr>
          <w:p w:rsidR="00054E02" w:rsidRPr="0099522F" w:rsidRDefault="00E8501A" w:rsidP="00922872">
            <w:pPr>
              <w:spacing w:line="360" w:lineRule="auto"/>
              <w:rPr>
                <w:rFonts w:eastAsiaTheme="minorEastAsia" w:hAnsiTheme="minorEastAsia"/>
                <w:bCs/>
                <w:szCs w:val="24"/>
              </w:rPr>
            </w:pPr>
            <w:r>
              <w:rPr>
                <w:rFonts w:eastAsiaTheme="minorEastAsia" w:hAnsiTheme="minorEastAsia" w:hint="eastAsia"/>
                <w:bCs/>
                <w:szCs w:val="24"/>
              </w:rPr>
              <w:t>E</w:t>
            </w:r>
            <w:r w:rsidR="00054E02" w:rsidRPr="0099522F">
              <w:rPr>
                <w:rFonts w:eastAsiaTheme="minorEastAsia" w:hAnsiTheme="minorEastAsia" w:hint="eastAsia"/>
                <w:bCs/>
                <w:szCs w:val="24"/>
              </w:rPr>
              <w:t>8.2</w:t>
            </w:r>
          </w:p>
        </w:tc>
        <w:tc>
          <w:tcPr>
            <w:tcW w:w="10004" w:type="dxa"/>
          </w:tcPr>
          <w:p w:rsidR="00054E02" w:rsidRPr="0099522F" w:rsidRDefault="00054E02" w:rsidP="00016DF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查见：《应急准备和响应控制程序》</w:t>
            </w:r>
          </w:p>
          <w:p w:rsidR="00054E02" w:rsidRPr="0099522F" w:rsidRDefault="00054E02" w:rsidP="00016DF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采购</w:t>
            </w:r>
            <w:r w:rsidRPr="0099522F">
              <w:rPr>
                <w:rFonts w:eastAsiaTheme="minorEastAsia" w:hAnsiTheme="minorEastAsia" w:hint="eastAsia"/>
                <w:sz w:val="24"/>
                <w:szCs w:val="24"/>
              </w:rPr>
              <w:t>部工作人</w:t>
            </w:r>
            <w:r>
              <w:rPr>
                <w:rFonts w:eastAsiaTheme="minorEastAsia" w:hAnsiTheme="minorEastAsia" w:hint="eastAsia"/>
                <w:sz w:val="24"/>
                <w:szCs w:val="24"/>
              </w:rPr>
              <w:t>员的在生产部</w:t>
            </w:r>
            <w:r w:rsidRPr="0099522F">
              <w:rPr>
                <w:rFonts w:eastAsiaTheme="minorEastAsia" w:hAnsiTheme="minorEastAsia" w:hint="eastAsia"/>
                <w:sz w:val="24"/>
                <w:szCs w:val="24"/>
              </w:rPr>
              <w:t>组织下，参加了公司组织的触电事故应急演练</w:t>
            </w:r>
            <w:r>
              <w:rPr>
                <w:rFonts w:eastAsiaTheme="minorEastAsia" w:hAnsiTheme="minorEastAsia" w:hint="eastAsia"/>
                <w:sz w:val="24"/>
                <w:szCs w:val="24"/>
              </w:rPr>
              <w:t>及</w:t>
            </w:r>
            <w:r w:rsidRPr="0099522F">
              <w:rPr>
                <w:rFonts w:eastAsiaTheme="minorEastAsia" w:hAnsiTheme="minorEastAsia" w:hint="eastAsia"/>
                <w:sz w:val="24"/>
                <w:szCs w:val="24"/>
              </w:rPr>
              <w:t>消防应急演练。通过演练公司员工的安全逃生意识有明显的改善和较大提高。使员工掌握了安全逃生的方式和路径。同时使员工掌握了灭火器材的使用。</w:t>
            </w:r>
            <w:r w:rsidR="00532BF6">
              <w:rPr>
                <w:rFonts w:eastAsiaTheme="minorEastAsia" w:hAnsiTheme="minorEastAsia" w:hint="eastAsia"/>
                <w:sz w:val="24"/>
                <w:szCs w:val="24"/>
              </w:rPr>
              <w:t>现场查看</w:t>
            </w:r>
            <w:r w:rsidRPr="0099522F">
              <w:rPr>
                <w:rFonts w:eastAsiaTheme="minorEastAsia" w:hAnsiTheme="minorEastAsia" w:hint="eastAsia"/>
                <w:sz w:val="24"/>
                <w:szCs w:val="24"/>
              </w:rPr>
              <w:t>消防器材完善、良好。</w:t>
            </w:r>
          </w:p>
          <w:p w:rsidR="00054E02" w:rsidRPr="00095E9A" w:rsidRDefault="00054E02" w:rsidP="00016DFC">
            <w:pPr>
              <w:spacing w:beforeLines="30" w:afterLines="30" w:line="288" w:lineRule="auto"/>
              <w:ind w:firstLineChars="200" w:firstLine="480"/>
            </w:pPr>
            <w:r w:rsidRPr="00DA692E">
              <w:rPr>
                <w:rFonts w:hAnsi="宋体"/>
                <w:sz w:val="24"/>
                <w:szCs w:val="24"/>
              </w:rPr>
              <w:t>自体系运行以来尚未发生紧急情况。</w:t>
            </w:r>
          </w:p>
        </w:tc>
        <w:tc>
          <w:tcPr>
            <w:tcW w:w="1585" w:type="dxa"/>
          </w:tcPr>
          <w:p w:rsidR="00054E02"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bl>
    <w:p w:rsidR="007748FA" w:rsidRDefault="007748FA">
      <w:pPr>
        <w:jc w:val="center"/>
        <w:rPr>
          <w:rFonts w:ascii="楷体" w:eastAsia="楷体" w:hAnsi="楷体"/>
        </w:rPr>
      </w:pPr>
    </w:p>
    <w:p w:rsidR="007748FA" w:rsidRDefault="007748FA">
      <w:pPr>
        <w:jc w:val="center"/>
        <w:rPr>
          <w:rFonts w:ascii="楷体" w:eastAsia="楷体" w:hAnsi="楷体"/>
        </w:rPr>
      </w:pPr>
    </w:p>
    <w:p w:rsidR="007748FA" w:rsidRDefault="00D326ED">
      <w:pPr>
        <w:pStyle w:val="a4"/>
        <w:rPr>
          <w:rFonts w:ascii="楷体" w:eastAsia="楷体" w:hAnsi="楷体"/>
        </w:rPr>
      </w:pPr>
      <w:r>
        <w:rPr>
          <w:rFonts w:ascii="楷体" w:eastAsia="楷体" w:hAnsi="楷体" w:hint="eastAsia"/>
        </w:rPr>
        <w:lastRenderedPageBreak/>
        <w:t>说明：不符合标注</w:t>
      </w:r>
      <w:r>
        <w:rPr>
          <w:rFonts w:ascii="楷体" w:eastAsia="楷体" w:hAnsi="楷体"/>
        </w:rPr>
        <w:t>N</w:t>
      </w:r>
    </w:p>
    <w:p w:rsidR="007748FA" w:rsidRDefault="007748FA">
      <w:pPr>
        <w:pStyle w:val="a4"/>
        <w:rPr>
          <w:rFonts w:ascii="楷体" w:eastAsia="楷体" w:hAnsi="楷体"/>
        </w:rPr>
      </w:pPr>
    </w:p>
    <w:sectPr w:rsidR="007748FA" w:rsidSect="007748F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00" w:rsidRDefault="00D63A00" w:rsidP="007748FA">
      <w:r>
        <w:separator/>
      </w:r>
    </w:p>
  </w:endnote>
  <w:endnote w:type="continuationSeparator" w:id="1">
    <w:p w:rsidR="00D63A00" w:rsidRDefault="00D63A00" w:rsidP="0077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85554A">
    <w:pPr>
      <w:pStyle w:val="a4"/>
      <w:jc w:val="center"/>
    </w:pPr>
    <w:r>
      <w:rPr>
        <w:b/>
      </w:rPr>
      <w:fldChar w:fldCharType="begin"/>
    </w:r>
    <w:r w:rsidR="00D326ED">
      <w:rPr>
        <w:b/>
      </w:rPr>
      <w:instrText>PAGE</w:instrText>
    </w:r>
    <w:r>
      <w:rPr>
        <w:b/>
      </w:rPr>
      <w:fldChar w:fldCharType="separate"/>
    </w:r>
    <w:r w:rsidR="00016DFC">
      <w:rPr>
        <w:b/>
        <w:noProof/>
      </w:rPr>
      <w:t>1</w:t>
    </w:r>
    <w:r>
      <w:rPr>
        <w:b/>
      </w:rPr>
      <w:fldChar w:fldCharType="end"/>
    </w:r>
    <w:r w:rsidR="00D326ED">
      <w:rPr>
        <w:lang w:val="zh-CN"/>
      </w:rPr>
      <w:t xml:space="preserve">/ </w:t>
    </w:r>
    <w:r>
      <w:rPr>
        <w:b/>
      </w:rPr>
      <w:fldChar w:fldCharType="begin"/>
    </w:r>
    <w:r w:rsidR="00D326ED">
      <w:rPr>
        <w:b/>
      </w:rPr>
      <w:instrText>NUMPAGES</w:instrText>
    </w:r>
    <w:r>
      <w:rPr>
        <w:b/>
      </w:rPr>
      <w:fldChar w:fldCharType="separate"/>
    </w:r>
    <w:r w:rsidR="00016DFC">
      <w:rPr>
        <w:b/>
        <w:noProof/>
      </w:rPr>
      <w:t>5</w:t>
    </w:r>
    <w:r>
      <w:rPr>
        <w:b/>
      </w:rPr>
      <w:fldChar w:fldCharType="end"/>
    </w:r>
  </w:p>
  <w:p w:rsidR="007748FA" w:rsidRDefault="007748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00" w:rsidRDefault="00D63A00" w:rsidP="007748FA">
      <w:r>
        <w:separator/>
      </w:r>
    </w:p>
  </w:footnote>
  <w:footnote w:type="continuationSeparator" w:id="1">
    <w:p w:rsidR="00D63A00" w:rsidRDefault="00D63A00" w:rsidP="0077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85554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8555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D326ED">
      <w:rPr>
        <w:rStyle w:val="CharChar1"/>
        <w:rFonts w:hint="eastAsia"/>
      </w:rPr>
      <w:t>北京国标联合认证有限公司</w:t>
    </w:r>
    <w:r w:rsidR="00D326ED">
      <w:rPr>
        <w:rStyle w:val="CharChar1"/>
      </w:rPr>
      <w:tab/>
    </w:r>
    <w:r w:rsidR="00D326ED">
      <w:rPr>
        <w:rStyle w:val="CharChar1"/>
      </w:rPr>
      <w:tab/>
    </w:r>
    <w:r w:rsidR="00D326ED">
      <w:rPr>
        <w:rStyle w:val="CharChar1"/>
      </w:rPr>
      <w:tab/>
    </w:r>
  </w:p>
  <w:p w:rsidR="007748FA" w:rsidRDefault="0085554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8" type="#_x0000_t202" style="position:absolute;margin-left:554.75pt;margin-top:2.2pt;width:172pt;height:20.2pt;z-index:251658240" stroked="f">
          <v:textbox>
            <w:txbxContent>
              <w:p w:rsidR="007748FA" w:rsidRDefault="00997C24">
                <w:r>
                  <w:rPr>
                    <w:rFonts w:hint="eastAsia"/>
                    <w:sz w:val="18"/>
                    <w:szCs w:val="18"/>
                  </w:rPr>
                  <w:t>ISC-B-I-31</w:t>
                </w:r>
                <w:r w:rsidR="00D326ED">
                  <w:rPr>
                    <w:rFonts w:hint="eastAsia"/>
                    <w:sz w:val="18"/>
                    <w:szCs w:val="18"/>
                  </w:rPr>
                  <w:t xml:space="preserve"> </w:t>
                </w:r>
                <w:r w:rsidR="00D326ED">
                  <w:rPr>
                    <w:rFonts w:hint="eastAsia"/>
                    <w:sz w:val="18"/>
                    <w:szCs w:val="18"/>
                  </w:rPr>
                  <w:t>管理体系审核记录表</w:t>
                </w:r>
                <w:r w:rsidR="00D326ED">
                  <w:rPr>
                    <w:rFonts w:hint="eastAsia"/>
                    <w:sz w:val="18"/>
                    <w:szCs w:val="18"/>
                  </w:rPr>
                  <w:t>(03</w:t>
                </w:r>
                <w:r w:rsidR="00D326ED">
                  <w:rPr>
                    <w:rFonts w:hint="eastAsia"/>
                    <w:sz w:val="18"/>
                    <w:szCs w:val="18"/>
                  </w:rPr>
                  <w:t>版</w:t>
                </w:r>
                <w:r w:rsidR="00D326ED">
                  <w:rPr>
                    <w:rFonts w:hint="eastAsia"/>
                    <w:sz w:val="18"/>
                    <w:szCs w:val="18"/>
                  </w:rPr>
                  <w:t>)</w:t>
                </w:r>
              </w:p>
            </w:txbxContent>
          </v:textbox>
        </v:shape>
      </w:pict>
    </w:r>
    <w:r w:rsidR="00D326ED">
      <w:rPr>
        <w:rStyle w:val="CharChar1"/>
        <w:w w:val="90"/>
      </w:rPr>
      <w:t>Beijing International Standard united Certification Co.,Ltd.</w:t>
    </w:r>
  </w:p>
  <w:p w:rsidR="007748FA" w:rsidRDefault="007748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4817"/>
    <w:rsid w:val="0001134A"/>
    <w:rsid w:val="00016DFC"/>
    <w:rsid w:val="00016F44"/>
    <w:rsid w:val="000214B6"/>
    <w:rsid w:val="0002531E"/>
    <w:rsid w:val="00032B7C"/>
    <w:rsid w:val="0003373A"/>
    <w:rsid w:val="000412F6"/>
    <w:rsid w:val="0005199E"/>
    <w:rsid w:val="00053861"/>
    <w:rsid w:val="00054863"/>
    <w:rsid w:val="00054E02"/>
    <w:rsid w:val="0005697E"/>
    <w:rsid w:val="000579CF"/>
    <w:rsid w:val="0007023B"/>
    <w:rsid w:val="000803D0"/>
    <w:rsid w:val="00082216"/>
    <w:rsid w:val="00082398"/>
    <w:rsid w:val="00082817"/>
    <w:rsid w:val="000849D2"/>
    <w:rsid w:val="00095FE1"/>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8468E"/>
    <w:rsid w:val="001918ED"/>
    <w:rsid w:val="00192A7F"/>
    <w:rsid w:val="00194706"/>
    <w:rsid w:val="001A2D7F"/>
    <w:rsid w:val="001A3163"/>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64265"/>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226D"/>
    <w:rsid w:val="00456697"/>
    <w:rsid w:val="0046313E"/>
    <w:rsid w:val="00465FE1"/>
    <w:rsid w:val="00475491"/>
    <w:rsid w:val="004869FB"/>
    <w:rsid w:val="00487986"/>
    <w:rsid w:val="00491735"/>
    <w:rsid w:val="00494A46"/>
    <w:rsid w:val="00494F89"/>
    <w:rsid w:val="004A5B41"/>
    <w:rsid w:val="004B217F"/>
    <w:rsid w:val="004B3E7F"/>
    <w:rsid w:val="004B549E"/>
    <w:rsid w:val="004C07FE"/>
    <w:rsid w:val="004C2A19"/>
    <w:rsid w:val="004C3EC9"/>
    <w:rsid w:val="004C6045"/>
    <w:rsid w:val="004D3E4C"/>
    <w:rsid w:val="004D41EE"/>
    <w:rsid w:val="004D7519"/>
    <w:rsid w:val="004E07A0"/>
    <w:rsid w:val="004E27B4"/>
    <w:rsid w:val="004F185D"/>
    <w:rsid w:val="004F7F6B"/>
    <w:rsid w:val="005056ED"/>
    <w:rsid w:val="00505D50"/>
    <w:rsid w:val="00517E4C"/>
    <w:rsid w:val="0052007E"/>
    <w:rsid w:val="00521CF0"/>
    <w:rsid w:val="005247CE"/>
    <w:rsid w:val="0053166D"/>
    <w:rsid w:val="0053208B"/>
    <w:rsid w:val="00532BF6"/>
    <w:rsid w:val="00534814"/>
    <w:rsid w:val="00536930"/>
    <w:rsid w:val="00551AE7"/>
    <w:rsid w:val="00560A2A"/>
    <w:rsid w:val="00564E53"/>
    <w:rsid w:val="00571EF2"/>
    <w:rsid w:val="00583277"/>
    <w:rsid w:val="00584F36"/>
    <w:rsid w:val="00592C3E"/>
    <w:rsid w:val="005A000F"/>
    <w:rsid w:val="005B173D"/>
    <w:rsid w:val="005B6888"/>
    <w:rsid w:val="005D2643"/>
    <w:rsid w:val="005D703C"/>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37A3"/>
    <w:rsid w:val="0067640C"/>
    <w:rsid w:val="006836D9"/>
    <w:rsid w:val="00685071"/>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748FA"/>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3BC9"/>
    <w:rsid w:val="0085554A"/>
    <w:rsid w:val="00856F34"/>
    <w:rsid w:val="008646DE"/>
    <w:rsid w:val="00864902"/>
    <w:rsid w:val="00864BE7"/>
    <w:rsid w:val="00865200"/>
    <w:rsid w:val="00871695"/>
    <w:rsid w:val="00880A0D"/>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3562D"/>
    <w:rsid w:val="00942185"/>
    <w:rsid w:val="00945677"/>
    <w:rsid w:val="00955B84"/>
    <w:rsid w:val="00962F78"/>
    <w:rsid w:val="0096609F"/>
    <w:rsid w:val="00971600"/>
    <w:rsid w:val="00980B33"/>
    <w:rsid w:val="00984342"/>
    <w:rsid w:val="009868B1"/>
    <w:rsid w:val="009973B4"/>
    <w:rsid w:val="00997C24"/>
    <w:rsid w:val="009A1B11"/>
    <w:rsid w:val="009A3AF9"/>
    <w:rsid w:val="009B2A80"/>
    <w:rsid w:val="009B7EB8"/>
    <w:rsid w:val="009C3B4B"/>
    <w:rsid w:val="009C560F"/>
    <w:rsid w:val="009E21D8"/>
    <w:rsid w:val="009E30DA"/>
    <w:rsid w:val="009E6193"/>
    <w:rsid w:val="009E7DD1"/>
    <w:rsid w:val="009F7EED"/>
    <w:rsid w:val="00A00DD4"/>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D6F34"/>
    <w:rsid w:val="00AF0AAB"/>
    <w:rsid w:val="00AF156F"/>
    <w:rsid w:val="00AF616B"/>
    <w:rsid w:val="00B0685B"/>
    <w:rsid w:val="00B127C2"/>
    <w:rsid w:val="00B22D22"/>
    <w:rsid w:val="00B23030"/>
    <w:rsid w:val="00B237B9"/>
    <w:rsid w:val="00B23CAA"/>
    <w:rsid w:val="00B339C1"/>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C2015"/>
    <w:rsid w:val="00BC71B0"/>
    <w:rsid w:val="00BD4B68"/>
    <w:rsid w:val="00BE0E08"/>
    <w:rsid w:val="00BF4732"/>
    <w:rsid w:val="00BF597E"/>
    <w:rsid w:val="00C03098"/>
    <w:rsid w:val="00C14685"/>
    <w:rsid w:val="00C31C73"/>
    <w:rsid w:val="00C326AE"/>
    <w:rsid w:val="00C51A36"/>
    <w:rsid w:val="00C548BE"/>
    <w:rsid w:val="00C55228"/>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26ED"/>
    <w:rsid w:val="00D3392D"/>
    <w:rsid w:val="00D429D7"/>
    <w:rsid w:val="00D445C2"/>
    <w:rsid w:val="00D55E69"/>
    <w:rsid w:val="00D562F6"/>
    <w:rsid w:val="00D63A00"/>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1D88"/>
    <w:rsid w:val="00E43186"/>
    <w:rsid w:val="00E43822"/>
    <w:rsid w:val="00E54035"/>
    <w:rsid w:val="00E62996"/>
    <w:rsid w:val="00E63714"/>
    <w:rsid w:val="00E64A51"/>
    <w:rsid w:val="00E660EA"/>
    <w:rsid w:val="00E676F9"/>
    <w:rsid w:val="00E71B1D"/>
    <w:rsid w:val="00E730E1"/>
    <w:rsid w:val="00E756B8"/>
    <w:rsid w:val="00E8501A"/>
    <w:rsid w:val="00E910C0"/>
    <w:rsid w:val="00E96A78"/>
    <w:rsid w:val="00E97424"/>
    <w:rsid w:val="00EA55F7"/>
    <w:rsid w:val="00EB0164"/>
    <w:rsid w:val="00EB1030"/>
    <w:rsid w:val="00EB5DF5"/>
    <w:rsid w:val="00EB656A"/>
    <w:rsid w:val="00EB65F7"/>
    <w:rsid w:val="00EC42F5"/>
    <w:rsid w:val="00ED0F62"/>
    <w:rsid w:val="00EE6AB8"/>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34E"/>
    <w:rsid w:val="00F856F5"/>
    <w:rsid w:val="00F956F5"/>
    <w:rsid w:val="00F95CCA"/>
    <w:rsid w:val="00FA0833"/>
    <w:rsid w:val="00FA1CD0"/>
    <w:rsid w:val="00FA350D"/>
    <w:rsid w:val="00FB03C3"/>
    <w:rsid w:val="00FB2F3B"/>
    <w:rsid w:val="00FB5A65"/>
    <w:rsid w:val="00FC4DEC"/>
    <w:rsid w:val="00FD2869"/>
    <w:rsid w:val="00FD5EE5"/>
    <w:rsid w:val="00FD72A6"/>
    <w:rsid w:val="00FE09C9"/>
    <w:rsid w:val="00FF415B"/>
    <w:rsid w:val="00FF5C75"/>
    <w:rsid w:val="00FF7A32"/>
    <w:rsid w:val="0CAF00AD"/>
    <w:rsid w:val="0FE91E4F"/>
    <w:rsid w:val="108219C2"/>
    <w:rsid w:val="13253148"/>
    <w:rsid w:val="14F54A81"/>
    <w:rsid w:val="1A9A0202"/>
    <w:rsid w:val="231C7402"/>
    <w:rsid w:val="280A5B83"/>
    <w:rsid w:val="2E9943CB"/>
    <w:rsid w:val="2FCF3650"/>
    <w:rsid w:val="30F85AC5"/>
    <w:rsid w:val="317E02CA"/>
    <w:rsid w:val="32396BB1"/>
    <w:rsid w:val="34E464A7"/>
    <w:rsid w:val="34EE4769"/>
    <w:rsid w:val="3D380C72"/>
    <w:rsid w:val="478D6169"/>
    <w:rsid w:val="482E2D26"/>
    <w:rsid w:val="4A3F6366"/>
    <w:rsid w:val="4BF26474"/>
    <w:rsid w:val="4F154CAB"/>
    <w:rsid w:val="55DD1602"/>
    <w:rsid w:val="56F304DB"/>
    <w:rsid w:val="5EA12B9A"/>
    <w:rsid w:val="60DA0E39"/>
    <w:rsid w:val="64E631DF"/>
    <w:rsid w:val="6B7B5666"/>
    <w:rsid w:val="715E45F4"/>
    <w:rsid w:val="79F25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748FA"/>
    <w:rPr>
      <w:sz w:val="18"/>
      <w:szCs w:val="18"/>
    </w:rPr>
  </w:style>
  <w:style w:type="paragraph" w:styleId="a4">
    <w:name w:val="footer"/>
    <w:basedOn w:val="a"/>
    <w:link w:val="Char0"/>
    <w:uiPriority w:val="99"/>
    <w:rsid w:val="007748FA"/>
    <w:pPr>
      <w:tabs>
        <w:tab w:val="center" w:pos="4153"/>
        <w:tab w:val="right" w:pos="8306"/>
      </w:tabs>
      <w:snapToGrid w:val="0"/>
      <w:jc w:val="left"/>
    </w:pPr>
    <w:rPr>
      <w:sz w:val="18"/>
      <w:szCs w:val="18"/>
    </w:rPr>
  </w:style>
  <w:style w:type="paragraph" w:styleId="a5">
    <w:name w:val="header"/>
    <w:basedOn w:val="a"/>
    <w:link w:val="Char1"/>
    <w:uiPriority w:val="99"/>
    <w:rsid w:val="007748FA"/>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7748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7748FA"/>
    <w:rPr>
      <w:rFonts w:ascii="Times New Roman" w:eastAsia="宋体" w:hAnsi="Times New Roman" w:cs="Times New Roman"/>
      <w:sz w:val="18"/>
      <w:szCs w:val="18"/>
    </w:rPr>
  </w:style>
  <w:style w:type="character" w:customStyle="1" w:styleId="Char0">
    <w:name w:val="页脚 Char"/>
    <w:link w:val="a4"/>
    <w:uiPriority w:val="99"/>
    <w:qFormat/>
    <w:locked/>
    <w:rsid w:val="007748FA"/>
    <w:rPr>
      <w:rFonts w:ascii="Times New Roman" w:eastAsia="宋体" w:hAnsi="Times New Roman" w:cs="Times New Roman"/>
      <w:sz w:val="18"/>
      <w:szCs w:val="18"/>
    </w:rPr>
  </w:style>
  <w:style w:type="character" w:customStyle="1" w:styleId="Char1">
    <w:name w:val="页眉 Char"/>
    <w:link w:val="a5"/>
    <w:uiPriority w:val="99"/>
    <w:qFormat/>
    <w:locked/>
    <w:rsid w:val="007748FA"/>
    <w:rPr>
      <w:rFonts w:ascii="Times New Roman" w:eastAsia="宋体" w:hAnsi="Times New Roman" w:cs="Times New Roman"/>
      <w:sz w:val="18"/>
      <w:szCs w:val="18"/>
    </w:rPr>
  </w:style>
  <w:style w:type="character" w:customStyle="1" w:styleId="CharChar1">
    <w:name w:val="Char Char1"/>
    <w:uiPriority w:val="99"/>
    <w:qFormat/>
    <w:locked/>
    <w:rsid w:val="007748FA"/>
    <w:rPr>
      <w:rFonts w:ascii="宋体" w:eastAsia="宋体" w:hAnsi="Courier New"/>
      <w:kern w:val="2"/>
      <w:sz w:val="21"/>
      <w:lang w:val="en-US" w:eastAsia="zh-CN"/>
    </w:rPr>
  </w:style>
  <w:style w:type="character" w:customStyle="1" w:styleId="fontstyle01">
    <w:name w:val="fontstyle01"/>
    <w:uiPriority w:val="99"/>
    <w:qFormat/>
    <w:rsid w:val="007748FA"/>
    <w:rPr>
      <w:rFonts w:ascii="宋体" w:eastAsia="宋体" w:hAnsi="宋体" w:cs="Times New Roman"/>
      <w:color w:val="000000"/>
      <w:sz w:val="24"/>
      <w:szCs w:val="24"/>
    </w:rPr>
  </w:style>
  <w:style w:type="character" w:customStyle="1" w:styleId="fontstyle21">
    <w:name w:val="fontstyle21"/>
    <w:uiPriority w:val="99"/>
    <w:qFormat/>
    <w:rsid w:val="007748FA"/>
    <w:rPr>
      <w:rFonts w:ascii="Times New Roman" w:hAnsi="Times New Roman" w:cs="Times New Roman"/>
      <w:color w:val="000000"/>
      <w:sz w:val="24"/>
      <w:szCs w:val="24"/>
    </w:rPr>
  </w:style>
  <w:style w:type="paragraph" w:styleId="a7">
    <w:name w:val="No Spacing"/>
    <w:uiPriority w:val="99"/>
    <w:qFormat/>
    <w:rsid w:val="007748FA"/>
    <w:pPr>
      <w:widowControl w:val="0"/>
      <w:jc w:val="both"/>
    </w:pPr>
    <w:rPr>
      <w:kern w:val="2"/>
      <w:sz w:val="21"/>
      <w:szCs w:val="24"/>
    </w:rPr>
  </w:style>
  <w:style w:type="paragraph" w:customStyle="1" w:styleId="a8">
    <w:name w:val="表格文字"/>
    <w:basedOn w:val="a"/>
    <w:qFormat/>
    <w:rsid w:val="007748FA"/>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1288</Words>
  <Characters>1599</Characters>
  <Application>Microsoft Office Word</Application>
  <DocSecurity>0</DocSecurity>
  <Lines>177</Lines>
  <Paragraphs>96</Paragraphs>
  <ScaleCrop>false</ScaleCrop>
  <Company>china</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cp:revision>
  <dcterms:created xsi:type="dcterms:W3CDTF">2019-05-18T05:12:00Z</dcterms:created>
  <dcterms:modified xsi:type="dcterms:W3CDTF">2021-05-14T08:51:00Z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