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both"/>
        <w:rPr>
          <w:rFonts w:hint="eastAsia"/>
          <w:b/>
          <w:bCs/>
          <w:sz w:val="24"/>
          <w:szCs w:val="24"/>
          <w:u w:val="none"/>
        </w:rPr>
      </w:pPr>
      <w:r>
        <w:rPr>
          <w:rFonts w:hint="eastAsia" w:ascii="宋体" w:hAnsi="宋体"/>
          <w:b/>
          <w:bCs/>
          <w:sz w:val="24"/>
          <w:szCs w:val="24"/>
          <w:u w:val="none"/>
        </w:rPr>
        <w:t>编  号：</w:t>
      </w:r>
      <w:r>
        <w:rPr>
          <w:b/>
          <w:bCs/>
          <w:sz w:val="24"/>
          <w:szCs w:val="24"/>
          <w:u w:val="none"/>
        </w:rPr>
        <w:t xml:space="preserve"> </w:t>
      </w:r>
      <w:bookmarkStart w:id="0" w:name="合同编号"/>
      <w:r>
        <w:rPr>
          <w:rFonts w:hint="eastAsia"/>
          <w:b/>
          <w:bCs/>
          <w:sz w:val="24"/>
          <w:szCs w:val="24"/>
          <w:u w:val="none"/>
        </w:rPr>
        <w:t>0408-2021-Q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重庆纯誉智能设备有限公司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17.10.02,17.11.03,29.03.01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17.10.02,17.11.03,29.03.01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重庆纯誉智能设备有限公司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重庆市璧山区丁家街道迎宾大道189号（1号厂房）</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402758</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重庆市璧山区丁家街道迎宾大道189号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402758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刘书伦</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18221093169</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刘书伦</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刘书伦</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章飞</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工业数控自动化设备的零部件、模具、工装夹具的生产，汽车配件的销售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17.10.02;17.11.03;29.03.01</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2020-12-01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eastAsia="宋体"/>
                <w:sz w:val="20"/>
                <w:lang w:eastAsia="zh-CN"/>
              </w:rPr>
              <w:t>工业数控自动化设备的零部件、模具、工装夹具的生产，汽车配件的销售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工艺装备基本术语GB/T 1008-2008</w:t>
            </w:r>
            <w:r>
              <w:rPr>
                <w:rFonts w:hint="eastAsia" w:ascii="宋体" w:hAnsi="宋体" w:eastAsia="宋体" w:cs="Times New Roman"/>
                <w:szCs w:val="21"/>
                <w:highlight w:val="none"/>
                <w:lang w:eastAsia="zh-CN"/>
              </w:rPr>
              <w:t>、</w:t>
            </w: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定位、夹紧符号JB/T 5061-2006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械加工工艺守则JB/T 9168-2006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 xml:space="preserve">技术产品文件 </w:t>
            </w:r>
            <w:r>
              <w:rPr>
                <w:rFonts w:hint="eastAsia" w:ascii="宋体" w:hAnsi="宋体" w:cs="Times New Roman"/>
                <w:szCs w:val="21"/>
                <w:highlight w:val="none"/>
                <w:lang w:val="en-US" w:eastAsia="zh-CN"/>
              </w:rPr>
              <w:t>普通机械</w:t>
            </w:r>
            <w:r>
              <w:rPr>
                <w:rFonts w:hint="eastAsia" w:ascii="宋体" w:hAnsi="宋体" w:eastAsia="宋体" w:cs="Times New Roman"/>
                <w:szCs w:val="21"/>
                <w:highlight w:val="none"/>
                <w:lang w:eastAsia="zh-CN"/>
              </w:rPr>
              <w:t>加工</w:t>
            </w:r>
            <w:r>
              <w:rPr>
                <w:rFonts w:hint="eastAsia" w:ascii="宋体" w:hAnsi="宋体" w:eastAsia="宋体" w:cs="Times New Roman"/>
                <w:szCs w:val="21"/>
                <w:highlight w:val="none"/>
              </w:rPr>
              <w:t>定位、夹紧符号表示法GB/T 24740-2009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金属切削机床 术语GB/T 6477-2008</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倒圆半径和倒角高度尺寸的极限偏差数值GB/T1804-2000</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角度尺寸的极限偏差数值GB/T1804-2000</w:t>
            </w:r>
            <w:r>
              <w:rPr>
                <w:rFonts w:hint="eastAsia" w:ascii="宋体" w:hAnsi="宋体" w:eastAsia="宋体" w:cs="Times New Roman"/>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Cs w:val="21"/>
                <w:lang w:eastAsia="zh-CN"/>
              </w:rPr>
              <w:t>“质量第一</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用户至上</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持续改进</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服务周到”</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default" w:ascii="宋体" w:hAnsi="宋体"/>
                <w:sz w:val="21"/>
                <w:szCs w:val="21"/>
                <w:lang w:val="en-US" w:eastAsia="zh-CN"/>
              </w:rPr>
            </w:pPr>
            <w:r>
              <w:rPr>
                <w:rFonts w:hint="eastAsia" w:ascii="宋体" w:hAnsi="宋体"/>
                <w:sz w:val="21"/>
                <w:szCs w:val="21"/>
                <w:lang w:eastAsia="zh-CN"/>
              </w:rPr>
              <w:t>质量管理体系过程有：</w:t>
            </w:r>
            <w:r>
              <w:rPr>
                <w:rFonts w:hint="eastAsia" w:ascii="宋体" w:hAnsi="宋体"/>
                <w:sz w:val="21"/>
                <w:szCs w:val="21"/>
                <w:lang w:val="en-US" w:eastAsia="zh-CN"/>
              </w:rPr>
              <w:t>合同评审、供方管理、加工、检验、交付过程</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highlight w:val="none"/>
                <w:lang w:val="en-US" w:eastAsia="zh-CN"/>
              </w:rPr>
              <w:t>机械加工（车、铣、磨）、检验</w:t>
            </w:r>
          </w:p>
          <w:p>
            <w:pPr>
              <w:rPr>
                <w:rFonts w:hint="default" w:ascii="宋体" w:hAnsi="宋体"/>
                <w:sz w:val="21"/>
                <w:szCs w:val="21"/>
                <w:lang w:val="en-US" w:eastAsia="zh-CN"/>
              </w:rPr>
            </w:pPr>
            <w:r>
              <w:rPr>
                <w:rFonts w:hint="eastAsia" w:ascii="宋体" w:hAnsi="宋体"/>
                <w:sz w:val="21"/>
                <w:szCs w:val="21"/>
                <w:lang w:val="en-US" w:eastAsia="zh-CN"/>
              </w:rPr>
              <w:t>特殊</w:t>
            </w:r>
            <w:r>
              <w:rPr>
                <w:rFonts w:hint="eastAsia" w:ascii="宋体" w:hAnsi="宋体"/>
                <w:sz w:val="21"/>
                <w:szCs w:val="21"/>
                <w:lang w:eastAsia="zh-CN"/>
              </w:rPr>
              <w:t>过程：</w:t>
            </w:r>
            <w:r>
              <w:rPr>
                <w:rFonts w:hint="eastAsia" w:ascii="宋体" w:hAnsi="宋体"/>
                <w:sz w:val="21"/>
                <w:szCs w:val="21"/>
                <w:lang w:val="en-US" w:eastAsia="zh-CN"/>
              </w:rPr>
              <w:t>无</w:t>
            </w:r>
          </w:p>
          <w:p>
            <w:pPr>
              <w:rPr>
                <w:rFonts w:hint="default" w:ascii="宋体" w:hAnsi="宋体"/>
                <w:sz w:val="21"/>
                <w:szCs w:val="21"/>
                <w:lang w:val="en-US" w:eastAsia="zh-CN"/>
              </w:rPr>
            </w:pPr>
            <w:r>
              <w:rPr>
                <w:rFonts w:hint="eastAsia" w:ascii="宋体" w:hAnsi="宋体"/>
                <w:sz w:val="21"/>
                <w:szCs w:val="21"/>
                <w:lang w:val="en-US" w:eastAsia="zh-CN"/>
              </w:rPr>
              <w:t>外包过程：</w:t>
            </w:r>
            <w:r>
              <w:rPr>
                <w:rFonts w:hint="eastAsia" w:ascii="宋体" w:hAnsi="宋体"/>
                <w:sz w:val="21"/>
                <w:szCs w:val="21"/>
                <w:highlight w:val="none"/>
                <w:lang w:val="en-US" w:eastAsia="zh-CN"/>
              </w:rPr>
              <w:t>热处理、表面处理（发蓝、发黑、喷漆、电镀）。</w:t>
            </w:r>
          </w:p>
          <w:p>
            <w:pPr>
              <w:spacing w:line="400" w:lineRule="exact"/>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cs="Times New Roman"/>
                <w:kern w:val="2"/>
                <w:sz w:val="21"/>
                <w:szCs w:val="21"/>
                <w:lang w:val="en-US" w:eastAsia="zh-CN" w:bidi="ar-SA"/>
              </w:rPr>
              <w:t>公司</w:t>
            </w:r>
            <w:r>
              <w:rPr>
                <w:rFonts w:hint="eastAsia"/>
                <w:sz w:val="20"/>
                <w:lang w:eastAsia="zh-CN"/>
              </w:rPr>
              <w:t>工业数控自动化设备的零部件、模具、工装夹具的生产，汽车配件的销售</w:t>
            </w:r>
            <w:r>
              <w:rPr>
                <w:rFonts w:hint="eastAsia" w:ascii="宋体" w:hAnsi="宋体" w:cs="Times New Roman"/>
                <w:kern w:val="2"/>
                <w:sz w:val="21"/>
                <w:szCs w:val="21"/>
                <w:lang w:val="en-US" w:eastAsia="zh-CN" w:bidi="ar-SA"/>
              </w:rPr>
              <w:t>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宋体"/>
                <w:szCs w:val="2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6"/>
              <w:numPr>
                <w:ilvl w:val="0"/>
                <w:numId w:val="0"/>
              </w:numPr>
              <w:spacing w:before="0" w:beforeAutospacing="0" w:after="0" w:afterAutospacing="0" w:line="240" w:lineRule="auto"/>
              <w:ind w:left="840" w:left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1、产品一次检验合格率≥98%；</w:t>
            </w:r>
          </w:p>
          <w:p>
            <w:pPr>
              <w:pStyle w:val="6"/>
              <w:numPr>
                <w:ilvl w:val="0"/>
                <w:numId w:val="0"/>
              </w:numPr>
              <w:spacing w:before="0" w:beforeAutospacing="0" w:after="0" w:afterAutospacing="0" w:line="240" w:lineRule="auto"/>
              <w:ind w:left="840" w:left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2、产品按期交付率≥98%</w:t>
            </w:r>
          </w:p>
          <w:p>
            <w:pPr>
              <w:spacing w:line="240" w:lineRule="auto"/>
              <w:ind w:firstLine="840" w:firstLineChars="400"/>
              <w:rPr>
                <w:rFonts w:ascii="宋体" w:hAnsi="宋体"/>
                <w:b/>
                <w:color w:val="000000" w:themeColor="text1"/>
              </w:rPr>
            </w:pPr>
            <w:r>
              <w:rPr>
                <w:rFonts w:hint="eastAsia" w:ascii="宋体" w:hAnsi="宋体" w:eastAsia="宋体" w:cs="宋体"/>
                <w:color w:val="000000"/>
                <w:kern w:val="0"/>
                <w:sz w:val="21"/>
                <w:szCs w:val="21"/>
                <w:lang w:val="en-US" w:eastAsia="zh-CN" w:bidi="ar-SA"/>
              </w:rPr>
              <w:t>3、顾客满意度90分以上。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平方左右，车间、库房</w:t>
            </w:r>
            <w:r>
              <w:rPr>
                <w:rFonts w:hint="eastAsia" w:ascii="宋体" w:hAnsi="宋体"/>
                <w:sz w:val="21"/>
                <w:szCs w:val="21"/>
                <w:highlight w:val="none"/>
                <w:lang w:eastAsia="zh-CN"/>
              </w:rPr>
              <w:t>（</w:t>
            </w:r>
            <w:r>
              <w:rPr>
                <w:rFonts w:hint="eastAsia" w:ascii="宋体" w:hAnsi="宋体"/>
                <w:sz w:val="21"/>
                <w:szCs w:val="21"/>
                <w:highlight w:val="none"/>
                <w:lang w:val="en-US" w:eastAsia="zh-CN"/>
              </w:rPr>
              <w:t>面积50平方米）</w:t>
            </w:r>
            <w:r>
              <w:rPr>
                <w:rFonts w:hint="eastAsia" w:ascii="宋体" w:hAnsi="宋体"/>
                <w:sz w:val="21"/>
                <w:szCs w:val="21"/>
                <w:highlight w:val="none"/>
              </w:rPr>
              <w:t>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50</w:t>
            </w:r>
            <w:r>
              <w:rPr>
                <w:rFonts w:hint="eastAsia" w:ascii="宋体" w:hAnsi="宋体"/>
                <w:sz w:val="21"/>
                <w:szCs w:val="21"/>
                <w:highlight w:val="none"/>
              </w:rPr>
              <w:t>平方。</w:t>
            </w:r>
            <w:r>
              <w:rPr>
                <w:rFonts w:hint="eastAsia" w:ascii="宋体" w:hAnsi="宋体"/>
                <w:bCs/>
                <w:iCs/>
                <w:szCs w:val="22"/>
                <w:highlight w:val="none"/>
                <w:lang w:val="en-US" w:eastAsia="zh-CN"/>
              </w:rPr>
              <w:t>主要生产设备包括：</w:t>
            </w:r>
            <w:r>
              <w:rPr>
                <w:rFonts w:hint="eastAsia" w:ascii="宋体" w:hAnsi="宋体" w:cs="宋体"/>
                <w:kern w:val="0"/>
                <w:sz w:val="21"/>
                <w:szCs w:val="21"/>
                <w:highlight w:val="none"/>
                <w:lang w:val="en-US" w:eastAsia="zh-CN"/>
              </w:rPr>
              <w:t>加工中心（CNC）</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线切割机床、数控车床、</w:t>
            </w:r>
            <w:r>
              <w:rPr>
                <w:rFonts w:hint="eastAsia" w:ascii="宋体" w:hAnsi="宋体" w:cs="宋体"/>
                <w:kern w:val="0"/>
                <w:sz w:val="21"/>
                <w:szCs w:val="21"/>
                <w:highlight w:val="none"/>
                <w:lang w:eastAsia="zh-CN"/>
              </w:rPr>
              <w:t>铣床、钻床、</w:t>
            </w:r>
            <w:r>
              <w:rPr>
                <w:rFonts w:hint="eastAsia" w:ascii="宋体" w:hAnsi="宋体" w:cs="宋体"/>
                <w:kern w:val="0"/>
                <w:sz w:val="21"/>
                <w:szCs w:val="21"/>
                <w:highlight w:val="none"/>
                <w:lang w:val="en-US" w:eastAsia="zh-CN"/>
              </w:rPr>
              <w:t>车</w:t>
            </w:r>
            <w:r>
              <w:rPr>
                <w:rFonts w:hint="eastAsia" w:ascii="宋体" w:hAnsi="宋体" w:cs="宋体"/>
                <w:kern w:val="0"/>
                <w:sz w:val="21"/>
                <w:szCs w:val="21"/>
                <w:highlight w:val="none"/>
                <w:lang w:eastAsia="zh-CN"/>
              </w:rPr>
              <w:t>床、</w:t>
            </w:r>
            <w:r>
              <w:rPr>
                <w:rFonts w:hint="eastAsia" w:ascii="宋体" w:hAnsi="宋体" w:cs="宋体"/>
                <w:kern w:val="0"/>
                <w:sz w:val="21"/>
                <w:szCs w:val="21"/>
                <w:highlight w:val="none"/>
                <w:lang w:val="en-US" w:eastAsia="zh-CN"/>
              </w:rPr>
              <w:t>双端面磨床、攻丝机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r>
              <w:rPr>
                <w:rFonts w:hint="eastAsia" w:ascii="宋体" w:hAnsi="宋体"/>
                <w:bCs/>
                <w:iCs/>
                <w:szCs w:val="22"/>
                <w:highlight w:val="none"/>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b/>
                <w:color w:val="000000" w:themeColor="text1"/>
                <w:sz w:val="20"/>
                <w:szCs w:val="20"/>
              </w:rPr>
            </w:pPr>
            <w:r>
              <w:rPr>
                <w:rFonts w:hint="eastAsia"/>
                <w:color w:val="auto"/>
                <w:sz w:val="21"/>
                <w:szCs w:val="21"/>
                <w:highlight w:val="none"/>
                <w:lang w:eastAsia="zh-CN"/>
              </w:rPr>
              <w:t>公司的监视和测量设施设备主要是</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千分尺、游标卡尺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百分表</w:t>
            </w:r>
            <w:r>
              <w:rPr>
                <w:rFonts w:hint="eastAsia" w:ascii="宋体" w:hAnsi="宋体" w:cs="宋体"/>
                <w:kern w:val="0"/>
                <w:sz w:val="21"/>
                <w:szCs w:val="21"/>
                <w:highlight w:val="none"/>
              </w:rPr>
              <w:t>等。</w:t>
            </w:r>
            <w:r>
              <w:rPr>
                <w:rFonts w:hint="eastAsia" w:ascii="宋体" w:hAnsi="宋体" w:cs="宋体"/>
                <w:kern w:val="0"/>
                <w:sz w:val="21"/>
                <w:szCs w:val="21"/>
                <w:highlight w:val="none"/>
                <w:lang w:val="en-US" w:eastAsia="zh-CN"/>
              </w:rPr>
              <w:t>采取外检，</w:t>
            </w:r>
            <w:r>
              <w:rPr>
                <w:rFonts w:hint="eastAsia"/>
                <w:color w:val="000000" w:themeColor="text1"/>
                <w:sz w:val="21"/>
                <w:szCs w:val="21"/>
                <w:highlight w:val="none"/>
                <w:lang w:val="en-US" w:eastAsia="zh-CN"/>
              </w:rPr>
              <w:t>提供的</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千分尺、游标卡尺</w:t>
            </w:r>
            <w:r>
              <w:rPr>
                <w:rFonts w:hint="eastAsia"/>
                <w:color w:val="000000" w:themeColor="text1"/>
                <w:sz w:val="21"/>
                <w:szCs w:val="21"/>
                <w:highlight w:val="none"/>
                <w:lang w:val="en-US" w:eastAsia="zh-CN"/>
              </w:rPr>
              <w:t>校准证书在有效期内，未提供</w:t>
            </w:r>
            <w:r>
              <w:rPr>
                <w:rFonts w:hint="eastAsia" w:ascii="宋体" w:hAnsi="宋体" w:cs="宋体"/>
                <w:kern w:val="0"/>
                <w:sz w:val="21"/>
                <w:szCs w:val="21"/>
                <w:highlight w:val="none"/>
                <w:lang w:val="en-US" w:eastAsia="zh-CN"/>
              </w:rPr>
              <w:t>百分表的检定或校准证书</w:t>
            </w:r>
            <w:r>
              <w:rPr>
                <w:rFonts w:hint="eastAsia"/>
                <w:color w:val="auto"/>
                <w:sz w:val="21"/>
                <w:szCs w:val="21"/>
                <w:highlight w:val="none"/>
                <w:lang w:eastAsia="zh-CN"/>
              </w:rPr>
              <w:t>，不符合标准要求。一阶段提出的不符合在二阶段审核时未整改关闭。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highlight w:val="none"/>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w:t>
            </w:r>
            <w:r>
              <w:rPr>
                <w:rFonts w:hint="eastAsia" w:ascii="宋体" w:hAnsi="宋体" w:cs="宋体"/>
                <w:color w:val="000000"/>
                <w:szCs w:val="21"/>
                <w:highlight w:val="none"/>
              </w:rPr>
              <w:t>明：组织基本能有效控制管理其生产及服务过程，从审核过程看，公司的产品质量管理基本受控。 QMS关键工序</w:t>
            </w:r>
            <w:r>
              <w:rPr>
                <w:rFonts w:hint="eastAsia" w:ascii="宋体" w:hAnsi="宋体" w:cs="宋体"/>
                <w:color w:val="000000"/>
                <w:szCs w:val="21"/>
                <w:highlight w:val="none"/>
                <w:lang w:eastAsia="zh-CN"/>
              </w:rPr>
              <w:t>：</w:t>
            </w:r>
            <w:r>
              <w:rPr>
                <w:rFonts w:hint="eastAsia" w:ascii="宋体" w:hAnsi="宋体"/>
                <w:sz w:val="21"/>
                <w:szCs w:val="21"/>
                <w:highlight w:val="none"/>
                <w:lang w:val="en-US" w:eastAsia="zh-CN"/>
              </w:rPr>
              <w:t>机械加工（车、铣、磨）、检验；</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highlight w:val="none"/>
                <w:lang w:val="en-US" w:eastAsia="zh-CN"/>
              </w:rPr>
              <w:t>确认过程：无。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w:t>
            </w:r>
          </w:p>
          <w:p>
            <w:pPr>
              <w:spacing w:line="240" w:lineRule="exact"/>
              <w:ind w:firstLine="402" w:firstLineChars="200"/>
              <w:rPr>
                <w:b/>
                <w:color w:val="000000" w:themeColor="text1"/>
                <w:sz w:val="20"/>
                <w:szCs w:val="20"/>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highlight w:val="none"/>
              </w:rPr>
            </w:pPr>
            <w:r>
              <w:rPr>
                <w:rFonts w:hint="eastAsia"/>
                <w:highlight w:val="none"/>
              </w:rPr>
              <w:t>对特种设备的维护; （适用时）</w:t>
            </w:r>
          </w:p>
          <w:p>
            <w:pPr>
              <w:spacing w:line="400" w:lineRule="exact"/>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szCs w:val="21"/>
                <w:highlight w:val="none"/>
              </w:rPr>
              <w:t>和监视评价，通过数据的汇总统计、描述性统计等方法对目标进行了测量，总体已达到或超过了规定的目标值。</w:t>
            </w:r>
            <w:r>
              <w:rPr>
                <w:rFonts w:hint="eastAsia" w:ascii="宋体" w:hAnsi="宋体" w:cs="宋体"/>
                <w:color w:val="auto"/>
                <w:szCs w:val="21"/>
                <w:highlight w:val="none"/>
              </w:rPr>
              <w:t>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2021年3</w:t>
            </w:r>
            <w:r>
              <w:rPr>
                <w:rFonts w:hint="eastAsia" w:ascii="宋体" w:hAnsi="宋体" w:cs="宋体"/>
                <w:color w:val="auto"/>
                <w:szCs w:val="21"/>
                <w:highlight w:val="none"/>
              </w:rPr>
              <w:t>月目</w:t>
            </w:r>
            <w:r>
              <w:rPr>
                <w:rFonts w:hint="eastAsia" w:ascii="宋体" w:hAnsi="宋体" w:cs="宋体"/>
                <w:color w:val="000000"/>
                <w:szCs w:val="21"/>
                <w:highlight w:val="none"/>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w:t>
            </w:r>
            <w:r>
              <w:rPr>
                <w:rFonts w:hint="eastAsia" w:ascii="宋体" w:hAnsi="宋体" w:cs="宋体"/>
                <w:color w:val="000000"/>
                <w:szCs w:val="21"/>
                <w:highlight w:val="none"/>
              </w:rPr>
              <w:t>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w:t>
            </w:r>
            <w:r>
              <w:rPr>
                <w:rFonts w:hint="eastAsia"/>
                <w:color w:val="auto"/>
                <w:sz w:val="21"/>
                <w:szCs w:val="21"/>
                <w:highlight w:val="none"/>
                <w:lang w:val="en-US" w:eastAsia="zh-CN"/>
              </w:rPr>
              <w:t>1</w:t>
            </w:r>
            <w:r>
              <w:rPr>
                <w:rFonts w:hint="eastAsia"/>
                <w:color w:val="auto"/>
                <w:sz w:val="21"/>
                <w:szCs w:val="21"/>
                <w:highlight w:val="none"/>
                <w:lang w:eastAsia="zh-CN"/>
              </w:rPr>
              <w:t>年</w:t>
            </w:r>
            <w:r>
              <w:rPr>
                <w:rFonts w:hint="eastAsia"/>
                <w:color w:val="auto"/>
                <w:sz w:val="21"/>
                <w:szCs w:val="21"/>
                <w:highlight w:val="none"/>
                <w:lang w:val="en-US" w:eastAsia="zh-CN"/>
              </w:rPr>
              <w:t>3</w:t>
            </w:r>
            <w:r>
              <w:rPr>
                <w:rFonts w:hint="eastAsia"/>
                <w:color w:val="auto"/>
                <w:sz w:val="21"/>
                <w:szCs w:val="21"/>
                <w:highlight w:val="none"/>
                <w:lang w:eastAsia="zh-CN"/>
              </w:rPr>
              <w:t>月</w:t>
            </w:r>
            <w:r>
              <w:rPr>
                <w:rFonts w:hint="eastAsia"/>
                <w:color w:val="auto"/>
                <w:sz w:val="21"/>
                <w:szCs w:val="21"/>
                <w:highlight w:val="none"/>
                <w:lang w:val="en-US" w:eastAsia="zh-CN"/>
              </w:rPr>
              <w:t>25</w:t>
            </w:r>
            <w:r>
              <w:rPr>
                <w:rFonts w:hint="eastAsia"/>
                <w:color w:val="auto"/>
                <w:sz w:val="21"/>
                <w:szCs w:val="21"/>
                <w:highlight w:val="none"/>
                <w:lang w:eastAsia="zh-CN"/>
              </w:rPr>
              <w:t>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ascii="宋体" w:hAnsi="宋体" w:cs="宋体"/>
                <w:color w:val="000000"/>
                <w:szCs w:val="24"/>
                <w:highlight w:val="none"/>
              </w:rPr>
              <w:t>涉及</w:t>
            </w:r>
            <w:r>
              <w:rPr>
                <w:rFonts w:hint="eastAsia" w:ascii="宋体" w:hAnsi="宋体" w:cs="宋体"/>
                <w:color w:val="000000"/>
                <w:szCs w:val="24"/>
                <w:highlight w:val="none"/>
                <w:lang w:val="en-US" w:eastAsia="zh-CN"/>
              </w:rPr>
              <w:t>综合部Q7.2</w:t>
            </w:r>
            <w:r>
              <w:rPr>
                <w:rFonts w:hint="eastAsia" w:ascii="宋体" w:hAnsi="宋体" w:eastAsia="宋体" w:cs="宋体"/>
                <w:color w:val="000000"/>
                <w:szCs w:val="24"/>
                <w:highlight w:val="none"/>
                <w:lang w:val="en-US" w:eastAsia="zh-CN"/>
              </w:rPr>
              <w:t>条款</w:t>
            </w:r>
            <w:r>
              <w:rPr>
                <w:rFonts w:hint="default" w:ascii="宋体" w:hAnsi="宋体" w:cs="宋体"/>
                <w:color w:val="000000"/>
                <w:szCs w:val="24"/>
                <w:highlight w:val="none"/>
                <w:lang w:val="en-US" w:eastAsia="zh-CN"/>
              </w:rPr>
              <w:t>”</w:t>
            </w:r>
            <w:r>
              <w:rPr>
                <w:rFonts w:hint="eastAsia" w:ascii="宋体" w:hAnsi="宋体" w:cs="宋体"/>
                <w:color w:val="000000"/>
                <w:szCs w:val="24"/>
                <w:highlight w:val="none"/>
                <w:lang w:val="en-US" w:eastAsia="zh-CN"/>
              </w:rPr>
              <w:t>在现场询问一名员工,不能回答 本公司质量目标</w:t>
            </w:r>
            <w:r>
              <w:rPr>
                <w:rFonts w:hint="default" w:ascii="宋体" w:hAnsi="宋体" w:cs="宋体"/>
                <w:color w:val="000000"/>
                <w:szCs w:val="24"/>
                <w:highlight w:val="none"/>
                <w:lang w:val="en-US" w:eastAsia="zh-CN"/>
              </w:rPr>
              <w:t>”</w:t>
            </w:r>
            <w:r>
              <w:rPr>
                <w:rFonts w:hint="eastAsia" w:ascii="宋体" w:hAnsi="宋体" w:eastAsia="宋体" w:cs="宋体"/>
                <w:color w:val="000000"/>
                <w:szCs w:val="24"/>
                <w:highlight w:val="none"/>
              </w:rPr>
              <w:t>，</w:t>
            </w:r>
            <w:r>
              <w:rPr>
                <w:rFonts w:hint="eastAsia" w:ascii="宋体" w:hAnsi="宋体" w:eastAsia="宋体" w:cs="宋体"/>
                <w:color w:val="000000"/>
                <w:szCs w:val="24"/>
              </w:rPr>
              <w:t>针对该不符合项，已及时采取纠正</w:t>
            </w:r>
            <w:r>
              <w:rPr>
                <w:rFonts w:hint="eastAsia" w:ascii="宋体" w:hAnsi="宋体"/>
                <w:szCs w:val="21"/>
              </w:rPr>
              <w:t>措施后，经内审员验证关闭</w:t>
            </w:r>
            <w:r>
              <w:rPr>
                <w:rFonts w:hint="eastAsia"/>
                <w:color w:val="auto"/>
                <w:szCs w:val="21"/>
                <w:highlight w:val="none"/>
              </w:rPr>
              <w:t>。</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w:t>
            </w:r>
            <w:r>
              <w:rPr>
                <w:rFonts w:hint="eastAsia" w:ascii="宋体" w:hAnsi="宋体"/>
                <w:kern w:val="0"/>
                <w:sz w:val="21"/>
                <w:szCs w:val="21"/>
                <w:lang w:val="en-US" w:eastAsia="zh-CN"/>
              </w:rPr>
              <w:t>1</w:t>
            </w:r>
            <w:r>
              <w:rPr>
                <w:rFonts w:hint="eastAsia" w:ascii="宋体" w:hAnsi="宋体"/>
                <w:kern w:val="0"/>
                <w:sz w:val="21"/>
                <w:szCs w:val="21"/>
                <w:lang w:eastAsia="zh-CN"/>
              </w:rPr>
              <w:t>年</w:t>
            </w:r>
            <w:r>
              <w:rPr>
                <w:rFonts w:hint="eastAsia" w:ascii="宋体" w:hAnsi="宋体"/>
                <w:kern w:val="0"/>
                <w:sz w:val="21"/>
                <w:szCs w:val="21"/>
                <w:lang w:val="en-US" w:eastAsia="zh-CN"/>
              </w:rPr>
              <w:t>4</w:t>
            </w:r>
            <w:r>
              <w:rPr>
                <w:rFonts w:hint="eastAsia" w:ascii="宋体" w:hAnsi="宋体"/>
                <w:kern w:val="0"/>
                <w:sz w:val="21"/>
                <w:szCs w:val="21"/>
                <w:lang w:eastAsia="zh-CN"/>
              </w:rPr>
              <w:t>月</w:t>
            </w:r>
            <w:r>
              <w:rPr>
                <w:rFonts w:hint="eastAsia" w:ascii="宋体" w:hAnsi="宋体"/>
                <w:kern w:val="0"/>
                <w:sz w:val="21"/>
                <w:szCs w:val="21"/>
                <w:lang w:val="en-US" w:eastAsia="zh-CN"/>
              </w:rPr>
              <w:t>5</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highlight w:val="none"/>
                <w:lang w:eastAsia="zh-CN"/>
              </w:rPr>
            </w:pPr>
            <w:r>
              <w:rPr>
                <w:rFonts w:hint="eastAsia"/>
                <w:b/>
                <w:color w:val="000000" w:themeColor="text1"/>
                <w:spacing w:val="-20"/>
                <w:sz w:val="20"/>
                <w:szCs w:val="20"/>
                <w:highlight w:val="none"/>
                <w:lang w:eastAsia="zh-CN"/>
              </w:rPr>
              <w:t>二阶段审核时开具的不符合项已关闭</w:t>
            </w:r>
            <w:r>
              <w:rPr>
                <w:rFonts w:hint="eastAsia"/>
                <w:b/>
                <w:color w:val="FF0000"/>
                <w:spacing w:val="-20"/>
                <w:sz w:val="20"/>
                <w:szCs w:val="20"/>
                <w:highlight w:val="none"/>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 xml:space="preserve">1. </w:t>
      </w:r>
      <w:bookmarkStart w:id="23" w:name="_GoBack"/>
      <w:bookmarkEnd w:id="23"/>
      <w:r>
        <w:rPr>
          <w:rFonts w:hint="eastAsia"/>
          <w:b/>
          <w:color w:val="auto"/>
          <w:highlight w:val="none"/>
        </w:rPr>
        <w:t>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61312;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w:t>
      </w:r>
      <w:r>
        <w:rPr>
          <w:rFonts w:hint="eastAsia"/>
          <w:b/>
          <w:color w:val="auto"/>
          <w:highlight w:val="none"/>
          <w:lang w:val="en-US" w:eastAsia="zh-CN"/>
        </w:rPr>
        <w:t>0</w:t>
      </w:r>
      <w:r>
        <w:rPr>
          <w:rFonts w:hint="eastAsia"/>
          <w:b/>
          <w:color w:val="auto"/>
          <w:highlight w:val="none"/>
        </w:rPr>
        <w:t>项</w:t>
      </w:r>
      <w:r>
        <w:rPr>
          <w:rFonts w:hint="eastAsia"/>
          <w:b/>
          <w:color w:val="auto"/>
          <w:highlight w:val="none"/>
          <w:lang w:eastAsia="zh-CN"/>
        </w:rPr>
        <w:t>，</w:t>
      </w:r>
      <w:r>
        <w:rPr>
          <w:rFonts w:hint="eastAsia"/>
          <w:b/>
          <w:color w:val="auto"/>
          <w:highlight w:val="none"/>
          <w:lang w:val="en-US" w:eastAsia="zh-CN"/>
        </w:rPr>
        <w:t>不符合项</w:t>
      </w:r>
      <w:r>
        <w:rPr>
          <w:rFonts w:hint="eastAsia"/>
          <w:b/>
          <w:color w:val="auto"/>
          <w:highlight w:val="none"/>
        </w:rPr>
        <w:t>分布在</w:t>
      </w:r>
      <w:r>
        <w:rPr>
          <w:rFonts w:hint="eastAsia"/>
          <w:b/>
          <w:color w:val="auto"/>
          <w:highlight w:val="none"/>
          <w:lang w:val="en-US" w:eastAsia="zh-CN"/>
        </w:rPr>
        <w:t>生产部</w:t>
      </w:r>
      <w:r>
        <w:rPr>
          <w:rFonts w:hint="eastAsia"/>
          <w:b/>
          <w:color w:val="auto"/>
          <w:highlight w:val="none"/>
        </w:rPr>
        <w:t>门</w:t>
      </w:r>
      <w:r>
        <w:rPr>
          <w:rFonts w:hint="eastAsia"/>
          <w:b/>
          <w:color w:val="auto"/>
          <w:highlight w:val="none"/>
          <w:lang w:val="en-US" w:eastAsia="zh-CN"/>
        </w:rPr>
        <w:t>Q7.1.5 a</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工业数控自动化设备的零部件、模具、工装夹具的生产，汽车配件的销售。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1568450</wp:posOffset>
            </wp:positionH>
            <wp:positionV relativeFrom="paragraph">
              <wp:posOffset>368935</wp:posOffset>
            </wp:positionV>
            <wp:extent cx="757555" cy="334645"/>
            <wp:effectExtent l="0" t="0" r="4445" b="825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1644650</wp:posOffset>
            </wp:positionH>
            <wp:positionV relativeFrom="paragraph">
              <wp:posOffset>187325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162" w:firstLineChars="150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szCs w:val="21"/>
        </w:rPr>
        <w:t xml:space="preserve">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 5 </w:t>
      </w:r>
      <w:r>
        <w:rPr>
          <w:rFonts w:hint="eastAsia"/>
          <w:b/>
          <w:color w:val="000000" w:themeColor="text1"/>
          <w:szCs w:val="21"/>
        </w:rPr>
        <w:t>月</w:t>
      </w:r>
      <w:r>
        <w:rPr>
          <w:rFonts w:hint="eastAsia"/>
          <w:b/>
          <w:color w:val="000000" w:themeColor="text1"/>
          <w:szCs w:val="21"/>
          <w:lang w:val="en-US" w:eastAsia="zh-CN"/>
        </w:rPr>
        <w:t xml:space="preserve"> 8 </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718820</wp:posOffset>
            </wp:positionH>
            <wp:positionV relativeFrom="paragraph">
              <wp:posOffset>156845</wp:posOffset>
            </wp:positionV>
            <wp:extent cx="757555" cy="334645"/>
            <wp:effectExtent l="0" t="0" r="4445" b="825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085230"/>
    <w:rsid w:val="1F7F7673"/>
    <w:rsid w:val="2D82642C"/>
    <w:rsid w:val="42520331"/>
    <w:rsid w:val="52FB49D5"/>
    <w:rsid w:val="70511506"/>
    <w:rsid w:val="730348D1"/>
    <w:rsid w:val="7D667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26</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2021-05-09T06:59:39Z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494A105696BA4A83B3B07CC73BB9BB8A</vt:lpwstr>
  </property>
</Properties>
</file>