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重庆市建新建筑防水材料厂</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徐会</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b/>
          <w:color w:val="000000" w:themeColor="text1"/>
          <w:sz w:val="26"/>
          <w:szCs w:val="26"/>
          <w:lang w:val="en-US" w:eastAsia="zh-CN"/>
        </w:rPr>
      </w:pPr>
      <w:r>
        <w:rPr>
          <w:rFonts w:hint="eastAsia" w:ascii="宋体" w:hAnsi="宋体"/>
          <w:b/>
          <w:color w:val="000000" w:themeColor="text1"/>
          <w:sz w:val="26"/>
          <w:szCs w:val="26"/>
          <w:lang w:val="en-US" w:eastAsia="zh-CN"/>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重庆市建新建筑防水材料厂</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重庆市九龙坡区火炬大道101号16-12号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400039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生产地址Add1"/>
            <w:bookmarkStart w:id="22" w:name="_GoBack"/>
            <w:r>
              <w:rPr>
                <w:rFonts w:ascii="宋体"/>
                <w:b/>
                <w:color w:val="FF0000"/>
                <w:sz w:val="20"/>
                <w:szCs w:val="20"/>
              </w:rPr>
              <w:t>重庆市璧山区七塘镇依凤乡</w:t>
            </w:r>
            <w:bookmarkEnd w:id="9"/>
            <w:bookmarkEnd w:id="22"/>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400039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023-65207274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王卫东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王卫东</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许云林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许可范围内建筑防水卷材（石油沥青玻璃纤维胎防水卷材、自粘聚合物改性沥青防水卷材、弹性体改性沥青防水卷材）的生产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15.06.02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生产部、技术质量部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 xml:space="preserve"> 销售部 采购部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1472"/>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472"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pPr>
              <w:rPr>
                <w:b/>
                <w:color w:val="000000" w:themeColor="text1"/>
                <w:sz w:val="20"/>
                <w:szCs w:val="20"/>
              </w:rPr>
            </w:pPr>
            <w:r>
              <w:rPr>
                <w:sz w:val="20"/>
              </w:rPr>
              <w:t>许可范围内建筑防水卷材（石油沥青玻璃纤维胎防水卷材、自粘聚合物改性沥青防水卷材、弹性体改性沥青防水卷材）的生产</w:t>
            </w:r>
          </w:p>
        </w:tc>
        <w:tc>
          <w:tcPr>
            <w:tcW w:w="1472"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widowControl/>
              <w:spacing w:line="400" w:lineRule="exact"/>
              <w:rPr>
                <w:b/>
                <w:color w:val="000000" w:themeColor="text1"/>
                <w:sz w:val="20"/>
                <w:szCs w:val="20"/>
              </w:rPr>
            </w:pPr>
            <w:r>
              <w:rPr>
                <w:rFonts w:hint="eastAsia" w:ascii="宋体" w:hAnsi="宋体"/>
                <w:sz w:val="21"/>
                <w:szCs w:val="21"/>
                <w:lang w:eastAsia="zh-CN"/>
              </w:rPr>
              <w:t>《</w:t>
            </w:r>
            <w:r>
              <w:rPr>
                <w:rFonts w:hint="eastAsia" w:ascii="宋体" w:hAnsi="宋体"/>
                <w:sz w:val="21"/>
                <w:szCs w:val="21"/>
                <w:lang w:val="en-US" w:eastAsia="zh-CN"/>
              </w:rPr>
              <w:t>石油沥青玻璃纤维防水卷材》GB/T14686-2008、</w:t>
            </w:r>
            <w:r>
              <w:rPr>
                <w:rFonts w:hint="eastAsia" w:ascii="宋体" w:hAnsi="宋体"/>
                <w:sz w:val="21"/>
                <w:szCs w:val="21"/>
                <w:lang w:eastAsia="zh-CN"/>
              </w:rPr>
              <w:t>《</w:t>
            </w:r>
            <w:r>
              <w:rPr>
                <w:rFonts w:hint="eastAsia" w:ascii="宋体" w:hAnsi="宋体"/>
                <w:sz w:val="21"/>
                <w:szCs w:val="21"/>
                <w:lang w:val="en-US" w:eastAsia="zh-CN"/>
              </w:rPr>
              <w:t>弹性体改性沥青防水卷材》GB18242-2008、</w:t>
            </w:r>
            <w:r>
              <w:rPr>
                <w:rFonts w:hint="eastAsia" w:ascii="宋体" w:hAnsi="宋体"/>
                <w:sz w:val="21"/>
                <w:szCs w:val="21"/>
                <w:lang w:eastAsia="zh-CN"/>
              </w:rPr>
              <w:t>《</w:t>
            </w:r>
            <w:r>
              <w:rPr>
                <w:rFonts w:hint="eastAsia" w:ascii="宋体" w:hAnsi="宋体"/>
                <w:sz w:val="21"/>
                <w:szCs w:val="21"/>
                <w:lang w:val="en-US" w:eastAsia="zh-CN"/>
              </w:rPr>
              <w:t>自粘聚合物改性沥青防水卷材》GB23441-2009、</w:t>
            </w:r>
            <w:r>
              <w:rPr>
                <w:rFonts w:hint="eastAsia" w:ascii="宋体" w:hAnsi="宋体"/>
                <w:sz w:val="21"/>
                <w:szCs w:val="21"/>
                <w:lang w:eastAsia="zh-CN"/>
              </w:rPr>
              <w:t>《</w:t>
            </w:r>
            <w:r>
              <w:rPr>
                <w:rFonts w:hint="eastAsia" w:ascii="宋体" w:hAnsi="宋体"/>
                <w:sz w:val="21"/>
                <w:szCs w:val="21"/>
                <w:lang w:val="en-US" w:eastAsia="zh-CN"/>
              </w:rPr>
              <w:t>种植屋面用耐根穿剌防水卷材》GB/T35468-2017、</w:t>
            </w:r>
            <w:r>
              <w:rPr>
                <w:rFonts w:hint="eastAsia" w:ascii="宋体" w:hAnsi="宋体"/>
                <w:sz w:val="21"/>
                <w:szCs w:val="21"/>
                <w:lang w:eastAsia="zh-CN"/>
              </w:rPr>
              <w:t>《</w:t>
            </w:r>
            <w:r>
              <w:rPr>
                <w:rFonts w:hint="eastAsia" w:ascii="宋体" w:hAnsi="宋体"/>
                <w:sz w:val="21"/>
                <w:szCs w:val="21"/>
                <w:lang w:val="en-US" w:eastAsia="zh-CN"/>
              </w:rPr>
              <w:t>湿铺防水卷材》GB/T35467-2017</w:t>
            </w:r>
            <w:r>
              <w:rPr>
                <w:rFonts w:hint="eastAsia" w:ascii="宋体" w:hAnsi="宋体"/>
                <w:sz w:val="21"/>
                <w:szCs w:val="21"/>
              </w:rPr>
              <w:t>等</w:t>
            </w:r>
            <w:r>
              <w:rPr>
                <w:rFonts w:hint="eastAsia" w:ascii="宋体" w:hAnsi="宋体"/>
                <w:sz w:val="21"/>
                <w:szCs w:val="21"/>
                <w:lang w:eastAsia="zh-CN"/>
              </w:rPr>
              <w:t>标准及顾客技术要求。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Pr>
          <w:p>
            <w:pPr>
              <w:rPr>
                <w:b/>
                <w:color w:val="000000" w:themeColor="text1"/>
                <w:sz w:val="20"/>
                <w:szCs w:val="20"/>
              </w:rPr>
            </w:pPr>
          </w:p>
        </w:tc>
        <w:tc>
          <w:tcPr>
            <w:tcW w:w="1472"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 w:val="21"/>
                <w:szCs w:val="21"/>
              </w:rPr>
              <w:t>质量第一，信誉第一，用户至上；节能降耗，防治污染，保护环境；安全第一，保障健康，减少风险；全员参与，遵守法规，持续改进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产品</w:t>
            </w:r>
            <w:r>
              <w:rPr>
                <w:rFonts w:hint="eastAsia" w:ascii="宋体" w:hAnsi="宋体" w:eastAsia="宋体" w:cs="Times New Roman"/>
                <w:sz w:val="21"/>
                <w:szCs w:val="21"/>
                <w:lang w:val="en-US" w:eastAsia="zh-CN"/>
              </w:rPr>
              <w:t>生产工艺</w:t>
            </w:r>
            <w:r>
              <w:rPr>
                <w:rFonts w:hint="eastAsia" w:ascii="宋体" w:hAnsi="宋体" w:eastAsia="宋体" w:cs="Times New Roman"/>
                <w:sz w:val="21"/>
                <w:szCs w:val="21"/>
              </w:rPr>
              <w:t>流程：</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配料搅拌—浸涂、挤出压延、覆膜—冷却成型--打卷--检验--入库</w:t>
            </w:r>
          </w:p>
          <w:p>
            <w:pPr>
              <w:widowControl/>
              <w:spacing w:line="40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lang w:val="en-US" w:eastAsia="zh-CN"/>
              </w:rPr>
              <w:t>关键过程：</w:t>
            </w:r>
            <w:r>
              <w:rPr>
                <w:rFonts w:hint="eastAsia" w:ascii="宋体" w:hAnsi="宋体" w:eastAsia="宋体" w:cs="Times New Roman"/>
                <w:sz w:val="21"/>
                <w:szCs w:val="21"/>
                <w:highlight w:val="none"/>
                <w:lang w:val="en-US" w:eastAsia="zh-CN"/>
              </w:rPr>
              <w:t>配料搅拌。特殊过程：挤出压延。</w:t>
            </w:r>
          </w:p>
          <w:p>
            <w:pPr>
              <w:widowControl/>
              <w:spacing w:line="400" w:lineRule="exac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外包过程：</w:t>
            </w:r>
            <w:r>
              <w:rPr>
                <w:rFonts w:hint="eastAsia" w:ascii="宋体" w:hAnsi="宋体"/>
                <w:color w:val="auto"/>
                <w:szCs w:val="21"/>
                <w:highlight w:val="none"/>
                <w:lang w:val="en-US" w:eastAsia="zh-CN"/>
              </w:rPr>
              <w:t>无。</w:t>
            </w:r>
          </w:p>
          <w:p>
            <w:pPr>
              <w:spacing w:line="360" w:lineRule="auto"/>
              <w:rPr>
                <w:rFonts w:hint="eastAsia" w:ascii="宋体" w:hAnsi="宋体"/>
                <w:sz w:val="21"/>
                <w:szCs w:val="21"/>
                <w:lang w:eastAsia="zh-CN"/>
              </w:rPr>
            </w:pPr>
            <w:r>
              <w:rPr>
                <w:rFonts w:hint="eastAsia" w:ascii="宋体" w:hAnsi="宋体" w:cs="Times New Roman"/>
                <w:b/>
                <w:bCs/>
                <w:color w:val="000000" w:themeColor="text1"/>
                <w:u w:val="single"/>
                <w:lang w:eastAsia="zh-CN"/>
              </w:rPr>
              <w:t>8.3不适用</w:t>
            </w:r>
            <w:r>
              <w:rPr>
                <w:rFonts w:hint="eastAsia" w:ascii="宋体" w:hAnsi="宋体" w:cs="Times New Roman"/>
                <w:color w:val="000000" w:themeColor="text1"/>
                <w:u w:val="single"/>
                <w:lang w:eastAsia="zh-CN"/>
              </w:rPr>
              <w:t>，</w:t>
            </w:r>
            <w:r>
              <w:rPr>
                <w:rFonts w:hint="eastAsia" w:ascii="宋体" w:hAnsi="宋体" w:eastAsia="宋体" w:cs="Times New Roman"/>
                <w:sz w:val="21"/>
                <w:szCs w:val="21"/>
                <w:u w:val="single"/>
              </w:rPr>
              <w:t>公司产品均按国家、行业相关标准标准及顾客要求进行生产,生产工艺成熟固定。生产过程不涉及标准中“8.3设计和开发”条款内容，该条款的不适用不影响组织提供满足顾客要求和适用法律法规要求的产品的能力或责任。</w:t>
            </w:r>
            <w:r>
              <w:rPr>
                <w:rFonts w:hint="eastAsia" w:ascii="宋体" w:hAnsi="宋体"/>
                <w:sz w:val="21"/>
                <w:szCs w:val="21"/>
                <w:u w:val="single"/>
                <w:lang w:eastAsia="zh-CN"/>
              </w:rPr>
              <w:t xml:space="preserve">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lang w:eastAsia="zh-CN"/>
              </w:rPr>
              <w:t>。</w:t>
            </w:r>
            <w:r>
              <w:rPr>
                <w:rFonts w:hint="eastAsia"/>
                <w:color w:val="000000"/>
                <w:szCs w:val="21"/>
              </w:rPr>
              <w:t>质</w:t>
            </w:r>
            <w:r>
              <w:rPr>
                <w:rFonts w:hint="eastAsia" w:ascii="宋体" w:hAnsi="宋体" w:cs="宋体"/>
                <w:color w:val="000000"/>
                <w:kern w:val="0"/>
                <w:szCs w:val="21"/>
              </w:rPr>
              <w:t>量目标：</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a)产品一次检验合格率≥96% ；</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 xml:space="preserve">b)产品按期交付率≥98%； </w:t>
            </w:r>
          </w:p>
          <w:p>
            <w:pPr>
              <w:widowControl/>
              <w:spacing w:line="400" w:lineRule="exact"/>
              <w:rPr>
                <w:rFonts w:ascii="宋体" w:hAnsi="宋体"/>
                <w:b/>
                <w:color w:val="000000" w:themeColor="text1"/>
              </w:rPr>
            </w:pPr>
            <w:r>
              <w:rPr>
                <w:rFonts w:hint="eastAsia" w:ascii="宋体" w:hAnsi="宋体" w:eastAsia="宋体" w:cs="Times New Roman"/>
                <w:sz w:val="21"/>
                <w:szCs w:val="21"/>
              </w:rPr>
              <w:t>c)客户满意度95分以上</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eastAsia="宋体" w:cs="Times New Roman"/>
                <w:b/>
                <w:color w:val="000000" w:themeColor="text1"/>
                <w:kern w:val="2"/>
                <w:sz w:val="20"/>
                <w:szCs w:val="20"/>
                <w:lang w:val="en-US" w:eastAsia="zh-CN" w:bidi="ar-SA"/>
              </w:rPr>
            </w:pPr>
            <w:r>
              <w:rPr>
                <w:rFonts w:hint="eastAsia" w:ascii="宋体" w:hAnsi="宋体"/>
                <w:szCs w:val="21"/>
                <w:highlight w:val="none"/>
                <w:lang w:val="en-US" w:eastAsia="zh-CN"/>
              </w:rPr>
              <w:t>生产车间及库房</w:t>
            </w:r>
            <w:r>
              <w:rPr>
                <w:rFonts w:hint="eastAsia" w:ascii="宋体" w:hAnsi="宋体"/>
                <w:szCs w:val="21"/>
                <w:highlight w:val="none"/>
              </w:rPr>
              <w:t>面积</w:t>
            </w:r>
            <w:r>
              <w:rPr>
                <w:rFonts w:hint="eastAsia" w:ascii="宋体" w:hAnsi="宋体"/>
                <w:szCs w:val="21"/>
                <w:highlight w:val="none"/>
                <w:lang w:val="en-US" w:eastAsia="zh-CN"/>
              </w:rPr>
              <w:t>约8000</w:t>
            </w:r>
            <w:r>
              <w:rPr>
                <w:rFonts w:hint="eastAsia" w:ascii="宋体" w:hAnsi="宋体"/>
                <w:szCs w:val="21"/>
                <w:highlight w:val="none"/>
              </w:rPr>
              <w:t>平方</w:t>
            </w:r>
            <w:r>
              <w:rPr>
                <w:rFonts w:hint="eastAsia" w:ascii="宋体" w:hAnsi="宋体"/>
                <w:szCs w:val="21"/>
                <w:highlight w:val="none"/>
                <w:lang w:val="en-US" w:eastAsia="zh-CN"/>
              </w:rPr>
              <w:t>米</w:t>
            </w:r>
            <w:r>
              <w:rPr>
                <w:rFonts w:hint="eastAsia" w:ascii="宋体" w:hAnsi="宋体"/>
                <w:szCs w:val="21"/>
                <w:highlight w:val="none"/>
              </w:rPr>
              <w:t>左右。</w:t>
            </w:r>
            <w:r>
              <w:rPr>
                <w:rFonts w:hint="eastAsia" w:ascii="宋体" w:hAnsi="宋体" w:cs="宋体"/>
                <w:szCs w:val="21"/>
                <w:highlight w:val="none"/>
              </w:rPr>
              <w:t>主</w:t>
            </w:r>
            <w:r>
              <w:rPr>
                <w:rFonts w:hint="eastAsia" w:ascii="宋体" w:hAnsi="宋体" w:cs="宋体"/>
                <w:szCs w:val="21"/>
              </w:rPr>
              <w:t>要设备</w:t>
            </w:r>
            <w:r>
              <w:rPr>
                <w:rFonts w:hint="eastAsia" w:ascii="宋体" w:hAnsi="宋体"/>
                <w:szCs w:val="21"/>
              </w:rPr>
              <w:t>为</w:t>
            </w:r>
            <w:r>
              <w:rPr>
                <w:rFonts w:hint="eastAsia" w:ascii="宋体" w:hAnsi="宋体"/>
                <w:color w:val="000000" w:themeColor="text1"/>
                <w:szCs w:val="21"/>
                <w:lang w:val="en-US" w:eastAsia="zh-CN"/>
              </w:rPr>
              <w:t>电脑、打印机、搅拌罐、配料罐、ZL-J全自动SBS改性沥青生产线、涂油池、打卷机、包装机、锅炉、叉车</w:t>
            </w:r>
            <w:r>
              <w:rPr>
                <w:rFonts w:hint="eastAsia" w:ascii="宋体" w:hAnsi="宋体" w:cs="宋体"/>
                <w:szCs w:val="21"/>
                <w:highlight w:val="none"/>
              </w:rPr>
              <w:t>等</w:t>
            </w:r>
            <w:r>
              <w:rPr>
                <w:rFonts w:hint="eastAsia" w:ascii="宋体" w:hAnsi="宋体"/>
                <w:szCs w:val="21"/>
              </w:rPr>
              <w:t>，可以满足</w:t>
            </w:r>
            <w:r>
              <w:rPr>
                <w:sz w:val="20"/>
              </w:rPr>
              <w:t>建</w:t>
            </w:r>
            <w:r>
              <w:rPr>
                <w:rFonts w:hint="eastAsia" w:ascii="宋体" w:hAnsi="宋体" w:eastAsia="宋体" w:cs="宋体"/>
                <w:szCs w:val="21"/>
              </w:rPr>
              <w:t>筑防水卷材（石油沥青玻璃纤维胎防水卷材、自粘聚合物改性沥</w:t>
            </w:r>
            <w:r>
              <w:rPr>
                <w:rFonts w:hint="eastAsia" w:ascii="宋体" w:hAnsi="宋体" w:eastAsia="宋体" w:cs="宋体"/>
                <w:szCs w:val="21"/>
                <w:highlight w:val="none"/>
              </w:rPr>
              <w:t>青防水卷材、弹性体改性沥青防水卷材）的生产的需要。</w:t>
            </w:r>
            <w:r>
              <w:rPr>
                <w:rFonts w:hint="eastAsia" w:ascii="宋体" w:hAnsi="宋体" w:cs="宋体"/>
                <w:szCs w:val="21"/>
                <w:highlight w:val="none"/>
              </w:rPr>
              <w:t>对设备按月方式进行维护保养，并实施。特种设备：</w:t>
            </w:r>
            <w:r>
              <w:rPr>
                <w:rFonts w:hint="eastAsia" w:ascii="宋体" w:hAnsi="宋体"/>
                <w:lang w:val="en-US" w:eastAsia="zh-CN"/>
              </w:rPr>
              <w:t>锅炉一台（燃料：天然气、导热油锅炉）</w:t>
            </w:r>
            <w:r>
              <w:rPr>
                <w:rFonts w:hint="eastAsia" w:ascii="宋体" w:hAnsi="宋体" w:cs="宋体"/>
                <w:szCs w:val="21"/>
                <w:highlight w:val="none"/>
                <w:lang w:val="en-US" w:eastAsia="zh-CN"/>
              </w:rPr>
              <w:t>、叉车两辆</w:t>
            </w:r>
            <w:r>
              <w:rPr>
                <w:rFonts w:hint="eastAsia" w:ascii="宋体" w:hAnsi="宋体" w:cs="宋体"/>
                <w:szCs w:val="21"/>
                <w:highlight w:val="none"/>
              </w:rPr>
              <w:t>。公司</w:t>
            </w:r>
            <w:r>
              <w:rPr>
                <w:rFonts w:hint="eastAsia" w:ascii="宋体" w:hAnsi="宋体" w:cs="宋体"/>
                <w:szCs w:val="21"/>
                <w:highlight w:val="none"/>
                <w:lang w:val="en-US" w:eastAsia="zh-CN"/>
              </w:rPr>
              <w:t>未</w:t>
            </w:r>
            <w:r>
              <w:rPr>
                <w:rFonts w:hint="eastAsia" w:ascii="宋体" w:hAnsi="宋体" w:cs="宋体"/>
                <w:szCs w:val="21"/>
                <w:highlight w:val="none"/>
              </w:rPr>
              <w:t>建立信息管理系统用于服务。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olor w:val="000000" w:themeColor="text1"/>
                <w:szCs w:val="21"/>
                <w:highlight w:val="none"/>
                <w:lang w:val="en-US" w:eastAsia="zh-CN"/>
              </w:rPr>
              <w:t>主要检测设备有电热鼓风干燥箱、恒温水浴锅、低温试验箱、沥青针入度仪、沥青延度仪、沥青软化点测定仪、电子台秤、电子拉力试验机、工作用玻璃液体温度计、电接点压力表、机械秒表、钢直尺、钢卷尺、测厚仪、游标卡尺等，均采用委外送检的方式。</w:t>
            </w:r>
            <w:r>
              <w:rPr>
                <w:rFonts w:hint="eastAsia" w:ascii="宋体" w:hAnsi="宋体"/>
                <w:b w:val="0"/>
                <w:bCs w:val="0"/>
                <w:color w:val="000000" w:themeColor="text1"/>
                <w:szCs w:val="21"/>
                <w:highlight w:val="none"/>
                <w:lang w:val="en-US" w:eastAsia="zh-CN"/>
              </w:rPr>
              <w:t>现场查见，能</w:t>
            </w:r>
            <w:r>
              <w:rPr>
                <w:rFonts w:hint="eastAsia" w:ascii="宋体" w:hAnsi="宋体"/>
                <w:color w:val="000000" w:themeColor="text1"/>
                <w:szCs w:val="21"/>
                <w:highlight w:val="none"/>
                <w:lang w:val="en-US" w:eastAsia="zh-CN"/>
              </w:rPr>
              <w:t>提供以上检具的有效校准证书。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w:t>
            </w:r>
            <w:r>
              <w:rPr>
                <w:rFonts w:hint="eastAsia" w:ascii="宋体" w:hAnsi="宋体" w:cs="宋体"/>
                <w:color w:val="000000" w:themeColor="text1"/>
                <w:szCs w:val="21"/>
              </w:rPr>
              <w:t>和改进活动正常有序展开（包括回访和顾客满意度调查），相关绩</w:t>
            </w:r>
            <w:r>
              <w:rPr>
                <w:rFonts w:hint="eastAsia" w:ascii="宋体" w:hAnsi="宋体" w:cs="宋体"/>
                <w:color w:val="000000" w:themeColor="text1"/>
                <w:szCs w:val="21"/>
                <w:highlight w:val="none"/>
              </w:rPr>
              <w:t>效表明：组织基本能有效控制管理其生产及服务过程，从审核过程看，公司的产品质量管理基本受控</w:t>
            </w:r>
            <w:r>
              <w:rPr>
                <w:rFonts w:hint="eastAsia" w:ascii="宋体" w:hAnsi="宋体" w:cs="宋体"/>
                <w:color w:val="000000"/>
                <w:szCs w:val="21"/>
                <w:highlight w:val="none"/>
              </w:rPr>
              <w:t>。 QMS</w:t>
            </w:r>
            <w:r>
              <w:rPr>
                <w:rFonts w:hint="eastAsia"/>
                <w:sz w:val="21"/>
                <w:szCs w:val="21"/>
                <w:highlight w:val="none"/>
              </w:rPr>
              <w:t>关键过</w:t>
            </w:r>
            <w:r>
              <w:rPr>
                <w:rFonts w:hint="eastAsia"/>
                <w:sz w:val="21"/>
                <w:szCs w:val="21"/>
              </w:rPr>
              <w:t>程：</w:t>
            </w:r>
            <w:r>
              <w:rPr>
                <w:rFonts w:hint="eastAsia" w:ascii="宋体" w:hAnsi="宋体" w:cs="宋体"/>
                <w:sz w:val="21"/>
                <w:szCs w:val="21"/>
                <w:highlight w:val="none"/>
                <w:lang w:val="en-US" w:eastAsia="zh-CN"/>
              </w:rPr>
              <w:t>配料</w:t>
            </w:r>
            <w:r>
              <w:rPr>
                <w:rFonts w:hint="eastAsia" w:ascii="宋体" w:hAnsi="宋体" w:cs="宋体"/>
                <w:sz w:val="21"/>
                <w:szCs w:val="21"/>
                <w:highlight w:val="none"/>
                <w:lang w:eastAsia="zh-CN"/>
              </w:rPr>
              <w:t>、</w:t>
            </w:r>
            <w:r>
              <w:rPr>
                <w:rFonts w:hint="eastAsia" w:ascii="宋体" w:hAnsi="宋体"/>
                <w:sz w:val="21"/>
                <w:szCs w:val="21"/>
              </w:rPr>
              <w:t>搅拌</w:t>
            </w:r>
            <w:r>
              <w:rPr>
                <w:rFonts w:hint="eastAsia"/>
                <w:sz w:val="21"/>
                <w:szCs w:val="21"/>
              </w:rPr>
              <w:t>过程</w:t>
            </w:r>
            <w:r>
              <w:rPr>
                <w:rFonts w:hint="eastAsia"/>
                <w:sz w:val="21"/>
                <w:szCs w:val="21"/>
                <w:lang w:eastAsia="zh-CN"/>
              </w:rPr>
              <w:t>，</w:t>
            </w:r>
            <w:r>
              <w:rPr>
                <w:rFonts w:hint="eastAsia" w:ascii="宋体" w:hAnsi="宋体"/>
                <w:sz w:val="21"/>
                <w:szCs w:val="21"/>
              </w:rPr>
              <w:t>搅拌</w:t>
            </w:r>
            <w:r>
              <w:rPr>
                <w:rFonts w:hint="eastAsia"/>
                <w:sz w:val="21"/>
                <w:szCs w:val="21"/>
                <w:lang w:val="en-US" w:eastAsia="zh-CN"/>
              </w:rPr>
              <w:t>过程也是特殊过程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对作业人员培训考核合格后上岗。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2021年6月18日市场监督管理局进行了抽查,有抽检报告两份，详情见附件。</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10. 对特种设备的维护; （适用时）</w:t>
            </w:r>
          </w:p>
          <w:p>
            <w:pPr>
              <w:spacing w:line="240" w:lineRule="exact"/>
              <w:rPr>
                <w:rFonts w:hint="default" w:eastAsia="宋体"/>
                <w:b/>
                <w:color w:val="000000" w:themeColor="text1"/>
                <w:sz w:val="20"/>
                <w:szCs w:val="20"/>
                <w:highlight w:val="none"/>
                <w:lang w:val="en-US" w:eastAsia="zh-CN"/>
              </w:rPr>
            </w:pPr>
            <w:r>
              <w:rPr>
                <w:rFonts w:hint="eastAsia" w:ascii="宋体" w:hAnsi="宋体"/>
                <w:highlight w:val="none"/>
                <w:lang w:val="en-US" w:eastAsia="zh-CN"/>
              </w:rPr>
              <w:t>锅炉一台（燃料：天然气、导热油锅炉）</w:t>
            </w:r>
            <w:r>
              <w:rPr>
                <w:rFonts w:hint="eastAsia" w:ascii="宋体" w:hAnsi="宋体" w:cs="宋体"/>
                <w:szCs w:val="21"/>
                <w:highlight w:val="none"/>
                <w:lang w:val="en-US" w:eastAsia="zh-CN"/>
              </w:rPr>
              <w:t>、叉车两辆</w:t>
            </w:r>
            <w:r>
              <w:rPr>
                <w:rFonts w:hint="eastAsia"/>
                <w:color w:val="auto"/>
                <w:sz w:val="21"/>
                <w:szCs w:val="21"/>
                <w:highlight w:val="none"/>
                <w:lang w:val="en-US" w:eastAsia="zh-CN"/>
              </w:rPr>
              <w:t>，提供有有效的年检报告。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w:t>
            </w:r>
            <w:r>
              <w:rPr>
                <w:rFonts w:hint="eastAsia" w:ascii="宋体" w:hAnsi="宋体" w:cs="宋体"/>
                <w:color w:val="auto"/>
                <w:szCs w:val="21"/>
              </w:rPr>
              <w:t>能部门和层次，规定了</w:t>
            </w:r>
            <w:r>
              <w:rPr>
                <w:rFonts w:hint="eastAsia" w:ascii="宋体" w:hAnsi="宋体" w:cs="宋体"/>
                <w:color w:val="auto"/>
                <w:szCs w:val="21"/>
                <w:highlight w:val="none"/>
              </w:rPr>
              <w:t>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一季度</w:t>
            </w:r>
            <w:r>
              <w:rPr>
                <w:rFonts w:hint="eastAsia" w:ascii="宋体" w:hAnsi="宋体" w:cs="宋体"/>
                <w:color w:val="auto"/>
                <w:szCs w:val="21"/>
                <w:highlight w:val="none"/>
              </w:rPr>
              <w:t>目标的</w:t>
            </w:r>
            <w:r>
              <w:rPr>
                <w:rFonts w:hint="eastAsia" w:ascii="宋体" w:hAnsi="宋体" w:cs="宋体"/>
                <w:color w:val="auto"/>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w:t>
            </w:r>
            <w:r>
              <w:rPr>
                <w:rFonts w:hint="eastAsia" w:ascii="宋体" w:hAnsi="宋体" w:cs="宋体"/>
                <w:color w:val="000000" w:themeColor="text1"/>
                <w:szCs w:val="21"/>
              </w:rPr>
              <w:t>顾客反</w:t>
            </w:r>
            <w:r>
              <w:rPr>
                <w:rFonts w:hint="eastAsia" w:ascii="宋体" w:hAnsi="宋体" w:cs="宋体"/>
                <w:color w:val="000000" w:themeColor="text1"/>
                <w:szCs w:val="21"/>
                <w:highlight w:val="none"/>
              </w:rPr>
              <w:t>馈信息的利用上不够，需要改善。近年来未发生重大顾客投诉和产品质量事故。顾客满意度调查按规定实施，20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月实施，满意度评价</w:t>
            </w:r>
            <w:r>
              <w:rPr>
                <w:rFonts w:hint="eastAsia" w:ascii="宋体" w:hAnsi="宋体" w:cs="宋体"/>
                <w:color w:val="000000" w:themeColor="text1"/>
                <w:szCs w:val="21"/>
                <w:highlight w:val="none"/>
                <w:lang w:val="en-US" w:eastAsia="zh-CN"/>
              </w:rPr>
              <w:t>98分</w:t>
            </w:r>
            <w:r>
              <w:rPr>
                <w:rFonts w:hint="eastAsia" w:ascii="宋体" w:hAnsi="宋体" w:cs="宋体"/>
                <w:color w:val="000000" w:themeColor="text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ascii="Times New Roman" w:hAnsi="Times New Roman" w:eastAsia="宋体" w:cs="Times New Roman"/>
                <w:sz w:val="21"/>
                <w:szCs w:val="21"/>
                <w:lang w:val="en-US" w:eastAsia="zh-CN"/>
              </w:rPr>
              <w:t>2021年2月6日-7日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lang w:val="en-US" w:eastAsia="zh-CN"/>
              </w:rPr>
              <w:t>涉及销售部9.1.2条款。对不符合事实描述为“</w:t>
            </w:r>
            <w:r>
              <w:rPr>
                <w:rFonts w:hint="eastAsia"/>
              </w:rPr>
              <w:t>未对客户满意度调查表及时进行统计和分析</w:t>
            </w:r>
            <w:r>
              <w:rPr>
                <w:rFonts w:hint="eastAsia"/>
                <w:sz w:val="21"/>
                <w:szCs w:val="21"/>
                <w:lang w:val="en-US"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不符合项，已及时采取纠正措施后，经内审员验证关闭。内审的有效性需要改善</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bCs/>
                <w:sz w:val="21"/>
                <w:szCs w:val="21"/>
              </w:rPr>
              <w:t>2021年2月18日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b/>
                <w:color w:val="000000" w:themeColor="text1"/>
                <w:spacing w:val="-20"/>
                <w:sz w:val="20"/>
                <w:szCs w:val="20"/>
              </w:rPr>
            </w:pPr>
            <w:r>
              <w:rPr>
                <w:rFonts w:hint="eastAsia" w:cs="Times New Roman"/>
                <w:b/>
                <w:color w:val="000000" w:themeColor="text1"/>
                <w:spacing w:val="-2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生产部</w:t>
      </w:r>
      <w:r>
        <w:rPr>
          <w:rFonts w:hint="eastAsia"/>
          <w:b/>
          <w:color w:val="000000" w:themeColor="text1"/>
          <w:highlight w:val="none"/>
        </w:rPr>
        <w:t>部门</w:t>
      </w:r>
      <w:r>
        <w:rPr>
          <w:rFonts w:hint="eastAsia"/>
          <w:b/>
          <w:color w:val="000000" w:themeColor="text1"/>
          <w:highlight w:val="none"/>
          <w:lang w:val="en-US" w:eastAsia="zh-CN"/>
        </w:rPr>
        <w:t>8.5.1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tabs>
                <w:tab w:val="left" w:pos="2552"/>
              </w:tabs>
              <w:spacing w:beforeLines="50" w:afterLines="50" w:line="280" w:lineRule="exact"/>
              <w:rPr>
                <w:b/>
                <w:color w:val="000000" w:themeColor="text1"/>
                <w:sz w:val="22"/>
                <w:szCs w:val="22"/>
              </w:rPr>
            </w:pPr>
            <w:r>
              <w:rPr>
                <w:rFonts w:hint="eastAsia"/>
                <w:b/>
                <w:color w:val="000000" w:themeColor="text1"/>
                <w:sz w:val="22"/>
                <w:szCs w:val="22"/>
              </w:rPr>
              <w:t>（</w:t>
            </w:r>
            <w:r>
              <w:rPr>
                <w:rFonts w:hint="eastAsia" w:ascii="Times New Roman" w:hAnsi="Times New Roman" w:eastAsia="宋体" w:cs="Times New Roman"/>
                <w:b/>
                <w:color w:val="000000" w:themeColor="text1"/>
                <w:sz w:val="22"/>
                <w:szCs w:val="22"/>
              </w:rPr>
              <w:t>综上所述，审核组一致认为，（</w:t>
            </w:r>
            <w:r>
              <w:rPr>
                <w:rFonts w:hint="eastAsia" w:ascii="Times New Roman" w:hAnsi="Times New Roman" w:eastAsia="宋体" w:cs="Times New Roman"/>
                <w:b/>
                <w:color w:val="000000" w:themeColor="text1"/>
                <w:sz w:val="22"/>
                <w:szCs w:val="22"/>
                <w:lang w:eastAsia="zh-CN"/>
              </w:rPr>
              <w:t>重庆市建新建筑防水材料厂</w:t>
            </w:r>
            <w:r>
              <w:rPr>
                <w:rFonts w:hint="eastAsia" w:ascii="Times New Roman" w:hAnsi="Times New Roman" w:eastAsia="宋体" w:cs="Times New Roman"/>
                <w:b/>
                <w:color w:val="000000" w:themeColor="text1"/>
                <w:sz w:val="22"/>
                <w:szCs w:val="22"/>
              </w:rPr>
              <w:t>）的质量管理体系适宜、充分、得到良好的实施和保持，体系运行持续有效。</w:t>
            </w:r>
            <w:r>
              <w:rPr>
                <w:rFonts w:hint="eastAsia"/>
                <w:b/>
                <w:color w:val="000000" w:themeColor="text1"/>
                <w:sz w:val="22"/>
                <w:szCs w:val="22"/>
              </w:rPr>
              <w:t>）</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sz w:val="20"/>
              </w:rPr>
              <w:t>许可范围内建筑防水卷材（石油沥青玻璃纤维胎防水卷材、自粘聚合物改性沥青防水卷材、弹性体改性沥青防水卷材）的生产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1661160</wp:posOffset>
            </wp:positionH>
            <wp:positionV relativeFrom="paragraph">
              <wp:posOffset>386715</wp:posOffset>
            </wp:positionV>
            <wp:extent cx="422910" cy="320040"/>
            <wp:effectExtent l="0" t="0" r="8890" b="1016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1312" behindDoc="0" locked="0" layoutInCell="1" allowOverlap="1">
            <wp:simplePos x="0" y="0"/>
            <wp:positionH relativeFrom="column">
              <wp:posOffset>1563370</wp:posOffset>
            </wp:positionH>
            <wp:positionV relativeFrom="paragraph">
              <wp:posOffset>170815</wp:posOffset>
            </wp:positionV>
            <wp:extent cx="603885" cy="438150"/>
            <wp:effectExtent l="0" t="0" r="5715" b="6350"/>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7"/>
                    <a:stretch>
                      <a:fillRect/>
                    </a:stretch>
                  </pic:blipFill>
                  <pic:spPr>
                    <a:xfrm>
                      <a:off x="0" y="0"/>
                      <a:ext cx="603885" cy="438150"/>
                    </a:xfrm>
                    <a:prstGeom prst="rect">
                      <a:avLst/>
                    </a:prstGeom>
                    <a:noFill/>
                    <a:ln>
                      <a:noFill/>
                    </a:ln>
                  </pic:spPr>
                </pic:pic>
              </a:graphicData>
            </a:graphic>
          </wp:anchor>
        </w:drawing>
      </w:r>
    </w:p>
    <w:p>
      <w:pPr>
        <w:snapToGrid w:val="0"/>
        <w:spacing w:after="156" w:afterLines="50" w:line="360" w:lineRule="auto"/>
        <w:ind w:left="-13" w:leftChars="-32" w:hanging="54" w:hangingChars="26"/>
        <w:rPr>
          <w:b/>
          <w:color w:val="000000" w:themeColor="text1"/>
          <w:sz w:val="26"/>
          <w:szCs w:val="26"/>
        </w:rPr>
      </w:pPr>
      <w:r>
        <w:drawing>
          <wp:anchor distT="0" distB="0" distL="114300" distR="114300" simplePos="0" relativeHeight="251663360" behindDoc="0" locked="0" layoutInCell="1" allowOverlap="1">
            <wp:simplePos x="0" y="0"/>
            <wp:positionH relativeFrom="page">
              <wp:posOffset>3482975</wp:posOffset>
            </wp:positionH>
            <wp:positionV relativeFrom="page">
              <wp:posOffset>3335655</wp:posOffset>
            </wp:positionV>
            <wp:extent cx="457200" cy="312420"/>
            <wp:effectExtent l="0" t="0" r="0" b="5080"/>
            <wp:wrapNone/>
            <wp:docPr id="3" name="图片 5" descr="62386ab47644903d87887e5b32c7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62386ab47644903d87887e5b32c716b"/>
                    <pic:cNvPicPr>
                      <a:picLocks noChangeAspect="1"/>
                    </pic:cNvPicPr>
                  </pic:nvPicPr>
                  <pic:blipFill>
                    <a:blip r:embed="rId8"/>
                    <a:stretch>
                      <a:fillRect/>
                    </a:stretch>
                  </pic:blipFill>
                  <pic:spPr>
                    <a:xfrm>
                      <a:off x="0" y="0"/>
                      <a:ext cx="457200" cy="312420"/>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b/>
          <w:sz w:val="20"/>
        </w:rPr>
        <w:t xml:space="preserve">2021年05月08日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857250</wp:posOffset>
            </wp:positionH>
            <wp:positionV relativeFrom="paragraph">
              <wp:posOffset>106045</wp:posOffset>
            </wp:positionV>
            <wp:extent cx="521335" cy="394335"/>
            <wp:effectExtent l="0" t="0" r="12065" b="12065"/>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pic:cNvPicPr>
                  </pic:nvPicPr>
                  <pic:blipFill>
                    <a:blip r:embed="rId6"/>
                    <a:stretch>
                      <a:fillRect/>
                    </a:stretch>
                  </pic:blipFill>
                  <pic:spPr>
                    <a:xfrm>
                      <a:off x="0" y="0"/>
                      <a:ext cx="521335" cy="394335"/>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9F174F"/>
    <w:rsid w:val="11791C32"/>
    <w:rsid w:val="1D7613E3"/>
    <w:rsid w:val="277D5A32"/>
    <w:rsid w:val="5A6E50DD"/>
    <w:rsid w:val="5FB50CFD"/>
    <w:rsid w:val="61051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2021-05-13T01:06:42Z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322CD373AEF144A5924D68D84D71F24A</vt:lpwstr>
  </property>
</Properties>
</file>