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重庆文正玻璃科技有限公司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E:15.01.02</w:t>
            </w:r>
          </w:p>
          <w:p>
            <w:pPr>
              <w:spacing w:line="240" w:lineRule="exact"/>
              <w:jc w:val="center"/>
              <w:rPr>
                <w:b/>
                <w:color w:val="000000" w:themeColor="text1"/>
                <w:sz w:val="20"/>
                <w:szCs w:val="20"/>
              </w:rPr>
            </w:pPr>
            <w:r>
              <w:rPr>
                <w:b/>
                <w:color w:val="000000" w:themeColor="text1"/>
                <w:sz w:val="20"/>
                <w:szCs w:val="20"/>
              </w:rPr>
              <w:t>O:15.01.02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E：GB/T 24001-2016/ISO14001:2015,O：GB/T45001-2020 / ISO45001：2018</w:t>
      </w:r>
      <w:bookmarkEnd w:id="4"/>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重庆文正玻璃科技有限公司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110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重庆市綦江区桥河工业园区A区</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401420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重庆市綦江区桥河工业园区A区</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401420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李兴杰</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13668049876</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蒋正六</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李兴杰</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E：建筑钢化玻璃、建筑夹层玻璃、建筑中空玻璃、防火玻璃的加工所涉及场所的相关环境管理活动（限3C许可范围内）</w:t>
            </w:r>
          </w:p>
          <w:p>
            <w:pPr>
              <w:spacing w:line="320" w:lineRule="exact"/>
              <w:rPr>
                <w:rFonts w:ascii="宋体" w:hAnsi="宋体"/>
                <w:b/>
                <w:color w:val="000000" w:themeColor="text1"/>
                <w:sz w:val="20"/>
                <w:szCs w:val="20"/>
              </w:rPr>
            </w:pPr>
            <w:r>
              <w:rPr>
                <w:rFonts w:ascii="宋体" w:hAnsi="宋体"/>
                <w:b/>
                <w:color w:val="000000" w:themeColor="text1"/>
                <w:sz w:val="20"/>
                <w:szCs w:val="20"/>
              </w:rPr>
              <w:t>O：建筑钢化玻璃、建筑夹层玻璃、建筑中空玻璃、防火玻璃的加工所涉及场所的相关职业健康安全管理活动（限3C许可范围内）</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E：15.01.02</w:t>
            </w:r>
          </w:p>
          <w:p>
            <w:pPr>
              <w:spacing w:line="320" w:lineRule="exact"/>
              <w:rPr>
                <w:rFonts w:ascii="宋体" w:hAnsi="宋体"/>
                <w:b/>
                <w:color w:val="000000" w:themeColor="text1"/>
                <w:sz w:val="20"/>
                <w:szCs w:val="20"/>
              </w:rPr>
            </w:pPr>
            <w:r>
              <w:rPr>
                <w:rFonts w:ascii="宋体" w:hAnsi="宋体"/>
                <w:b/>
                <w:color w:val="000000" w:themeColor="text1"/>
                <w:sz w:val="20"/>
                <w:szCs w:val="20"/>
              </w:rPr>
              <w:t>O：15.01.02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2020-08-10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auto"/>
                <w:kern w:val="2"/>
                <w:sz w:val="20"/>
                <w:szCs w:val="20"/>
                <w:lang w:val="en-US" w:eastAsia="zh-CN" w:bidi="ar-SA"/>
              </w:rPr>
            </w:pPr>
            <w:r>
              <w:rPr>
                <w:rFonts w:hint="eastAsia" w:ascii="宋体" w:hAnsi="宋体"/>
                <w:b/>
                <w:color w:val="auto"/>
                <w:sz w:val="20"/>
                <w:szCs w:val="20"/>
              </w:rPr>
              <w:t>管理层</w:t>
            </w:r>
          </w:p>
        </w:tc>
        <w:tc>
          <w:tcPr>
            <w:tcW w:w="6804" w:type="dxa"/>
            <w:vAlign w:val="top"/>
          </w:tcPr>
          <w:p>
            <w:pPr>
              <w:jc w:val="left"/>
              <w:rPr>
                <w:rFonts w:ascii="宋体" w:hAnsi="宋体" w:eastAsia="宋体" w:cs="Times New Roman"/>
                <w:b/>
                <w:color w:val="auto"/>
                <w:spacing w:val="-20"/>
                <w:kern w:val="2"/>
                <w:sz w:val="20"/>
                <w:szCs w:val="20"/>
                <w:u w:val="single"/>
                <w:lang w:val="en-US" w:eastAsia="zh-CN" w:bidi="ar-SA"/>
              </w:rPr>
            </w:pPr>
            <w:r>
              <w:rPr>
                <w:rFonts w:hint="eastAsia" w:ascii="宋体" w:hAnsi="宋体"/>
                <w:b/>
                <w:color w:val="auto"/>
                <w:spacing w:val="-20"/>
                <w:sz w:val="20"/>
                <w:szCs w:val="20"/>
              </w:rPr>
              <w:t>方针、目标管理；</w:t>
            </w:r>
            <w:r>
              <w:rPr>
                <w:rFonts w:hint="eastAsia" w:ascii="宋体" w:hAnsi="宋体"/>
                <w:b/>
                <w:color w:val="auto"/>
                <w:sz w:val="20"/>
                <w:szCs w:val="20"/>
              </w:rPr>
              <w:t>管理评审；</w:t>
            </w:r>
            <w:r>
              <w:rPr>
                <w:rFonts w:ascii="宋体" w:hAnsi="宋体"/>
                <w:b/>
                <w:color w:val="auto"/>
                <w:spacing w:val="-20"/>
                <w:sz w:val="20"/>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行政部</w:t>
            </w:r>
            <w:r>
              <w:rPr>
                <w:rFonts w:hint="eastAsia" w:ascii="宋体" w:hAnsi="宋体"/>
                <w:b/>
                <w:color w:val="000000" w:themeColor="text1"/>
                <w:sz w:val="20"/>
                <w:szCs w:val="20"/>
              </w:rPr>
              <w:t>（财务部）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文件、记录控制程；内审管理；人员、部门职能职责和权限；风险识别评价管理；环境因素识别评价管理。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供销部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不合格品控制；合同管理；外部供方管理；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生产技术部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ascii="宋体" w:hAnsi="宋体"/>
                <w:b/>
                <w:color w:val="000000" w:themeColor="text1"/>
                <w:sz w:val="20"/>
                <w:szCs w:val="20"/>
              </w:rPr>
              <w:t>建筑钢化玻璃、建筑夹层玻璃、建筑中空玻璃、防火玻璃的加工</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b/>
                <w:color w:val="000000" w:themeColor="text1"/>
                <w:sz w:val="20"/>
                <w:szCs w:val="20"/>
              </w:rPr>
              <w:t>GB 15763.3-2009 建筑用安全玻璃 第3部分：夹层玻璃；GB 15763.2-2005 建筑用安全玻璃 第2部分：钢化玻璃；11944-2012 中空玻璃</w:t>
            </w:r>
            <w:r>
              <w:rPr>
                <w:rFonts w:hint="eastAsia"/>
                <w:b/>
                <w:color w:val="000000" w:themeColor="text1"/>
                <w:sz w:val="20"/>
                <w:szCs w:val="20"/>
                <w:lang w:eastAsia="zh-CN"/>
              </w:rPr>
              <w:t>；</w:t>
            </w:r>
            <w:r>
              <w:rPr>
                <w:rFonts w:hint="eastAsia"/>
                <w:b/>
                <w:color w:val="000000" w:themeColor="text1"/>
                <w:sz w:val="20"/>
                <w:szCs w:val="20"/>
              </w:rPr>
              <w:t>污水综合排放标准（GB8978-1996）三级、工业企业厂界环境噪声排放标准（GB12348-2008）3类、大气污染物综合排放标准（GB16297-1996）二级</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8</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r>
        <w:rPr>
          <w:rFonts w:hint="eastAsia"/>
          <w:b/>
          <w:color w:val="000000" w:themeColor="text1"/>
          <w:spacing w:val="-10"/>
          <w:szCs w:val="21"/>
          <w:lang w:val="en-US" w:eastAsia="zh-CN"/>
        </w:rPr>
        <w:t>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7" w:leftChars="-337" w:hanging="571" w:hangingChars="271"/>
        <w:rPr>
          <w:b/>
          <w:color w:val="000000" w:themeColor="text1"/>
          <w:spacing w:val="-10"/>
          <w:szCs w:val="21"/>
        </w:rPr>
      </w:pPr>
      <w:r>
        <w:rPr>
          <w:rFonts w:hint="eastAsia" w:ascii="宋体" w:hAnsi="宋体"/>
          <w:b/>
          <w:color w:val="000000" w:themeColor="text1"/>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宋体" w:hAnsi="宋体"/>
                <w:color w:val="000000" w:themeColor="text1"/>
              </w:rPr>
              <w:t>组织对内外部因素、相关方需求和期望进行了充分的识别，策划和实施有效。组织确定了体系的边界，基本适用。管理体系8.3条款不适用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240" w:lineRule="exact"/>
              <w:rPr>
                <w:b/>
                <w:color w:val="000000" w:themeColor="text1"/>
                <w:sz w:val="20"/>
                <w:szCs w:val="20"/>
              </w:rPr>
            </w:pPr>
            <w:r>
              <w:rPr>
                <w:rFonts w:hint="eastAsia"/>
                <w:b/>
                <w:color w:val="000000" w:themeColor="text1"/>
                <w:sz w:val="20"/>
                <w:szCs w:val="20"/>
              </w:rPr>
              <w:t>相关方需求和期望识别情况</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A3"/>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ind w:left="199" w:leftChars="95"/>
              <w:rPr>
                <w:rFonts w:ascii="Times New Roman" w:hAnsi="Times New Roman" w:eastAsia="宋体" w:cs="Times New Roman"/>
                <w:b/>
                <w:color w:val="000000" w:themeColor="text1"/>
                <w:kern w:val="2"/>
                <w:sz w:val="21"/>
                <w:szCs w:val="24"/>
                <w:lang w:val="en-US" w:eastAsia="zh-CN" w:bidi="ar-SA"/>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质量方针：诚实守信，客户至上；真诚合作，实现双赢；环境方针：遵规守法，预防污染；高效低耗，环保营业 ；职业健康安全方针： 安全第一，预防为主；健康向上，共建和谐。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1025" o:spid="_x0000_s1025"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cs="Times New Roman" w:asciiTheme="minorEastAsia" w:hAnsiTheme="minorEastAsia" w:eastAsiaTheme="minorEastAsia"/>
                <w:b/>
                <w:color w:val="000000" w:themeColor="text1"/>
                <w:kern w:val="2"/>
                <w:sz w:val="20"/>
                <w:szCs w:val="20"/>
                <w:lang w:val="en-US" w:eastAsia="zh-CN" w:bidi="ar-SA"/>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w:t>
            </w:r>
            <w:r>
              <w:rPr>
                <w:rFonts w:hint="eastAsia" w:asciiTheme="minorEastAsia" w:hAnsiTheme="minorEastAsia" w:eastAsiaTheme="minorEastAsia"/>
                <w:bCs/>
                <w:iCs/>
                <w:lang w:eastAsia="zh-CN"/>
              </w:rPr>
              <w:t>、</w:t>
            </w:r>
            <w:r>
              <w:rPr>
                <w:rFonts w:hint="eastAsia"/>
                <w:b w:val="0"/>
                <w:bCs/>
                <w:sz w:val="20"/>
              </w:rPr>
              <w:t>废水排放</w:t>
            </w:r>
            <w:r>
              <w:rPr>
                <w:rFonts w:hint="eastAsia"/>
                <w:b w:val="0"/>
                <w:bCs/>
                <w:sz w:val="20"/>
                <w:lang w:eastAsia="zh-CN"/>
              </w:rPr>
              <w:t>、</w:t>
            </w:r>
            <w:r>
              <w:rPr>
                <w:rFonts w:hint="eastAsia"/>
                <w:b w:val="0"/>
                <w:bCs/>
                <w:sz w:val="20"/>
              </w:rPr>
              <w:t>噪音</w:t>
            </w:r>
            <w:r>
              <w:rPr>
                <w:rFonts w:hint="eastAsia"/>
                <w:b w:val="0"/>
                <w:bCs/>
                <w:sz w:val="20"/>
                <w:lang w:eastAsia="zh-CN"/>
              </w:rPr>
              <w:t>、</w:t>
            </w:r>
            <w:r>
              <w:rPr>
                <w:rFonts w:hint="eastAsia"/>
                <w:b w:val="0"/>
                <w:bCs/>
                <w:sz w:val="20"/>
              </w:rPr>
              <w:t>废气排放</w:t>
            </w:r>
            <w:r>
              <w:rPr>
                <w:rFonts w:hint="eastAsia"/>
                <w:b w:val="0"/>
                <w:bCs/>
                <w:sz w:val="20"/>
                <w:lang w:val="en-US" w:eastAsia="zh-CN"/>
              </w:rPr>
              <w:t>的控制、</w:t>
            </w:r>
            <w:r>
              <w:rPr>
                <w:rFonts w:hint="eastAsia" w:asciiTheme="minorEastAsia" w:hAnsiTheme="minorEastAsia" w:eastAsiaTheme="minorEastAsia"/>
                <w:bCs/>
                <w:iCs/>
              </w:rPr>
              <w:t>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eastAsia="宋体" w:cs="Times New Roman"/>
                <w:b/>
                <w:color w:val="000000" w:themeColor="text1"/>
                <w:spacing w:val="-8"/>
                <w:kern w:val="2"/>
                <w:sz w:val="20"/>
                <w:szCs w:val="20"/>
                <w:lang w:val="en-US" w:eastAsia="zh-CN" w:bidi="ar-SA"/>
              </w:rPr>
            </w:pPr>
            <w:r>
              <w:rPr>
                <w:rFonts w:hint="eastAsia" w:ascii="宋体" w:hAnsi="宋体"/>
                <w:color w:val="000000" w:themeColor="text1"/>
              </w:rPr>
              <w:t>组织建立了危险源识别、评价控制程序，识别评价了危险源、风险相关的过程，评价出了重要危险源，与之相关的过程有客户开发、销售，针对重要危险源制定了管理方案。控制措施实施有效。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3"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lang w:val="en-US" w:eastAsia="zh-CN"/>
              </w:rPr>
              <w:t>9</w:t>
            </w:r>
            <w:r>
              <w:rPr>
                <w:rFonts w:hint="eastAsia"/>
                <w:b/>
                <w:color w:val="000000" w:themeColor="text1"/>
                <w:szCs w:val="21"/>
              </w:rPr>
              <w:t xml:space="preserve">.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质量目标的数据分析利用不到位</w:t>
            </w:r>
          </w:p>
          <w:p>
            <w:pPr>
              <w:spacing w:line="360" w:lineRule="auto"/>
              <w:ind w:firstLine="420" w:firstLineChars="200"/>
              <w:jc w:val="left"/>
              <w:rPr>
                <w:rFonts w:ascii="宋体" w:hAnsi="宋体"/>
                <w:bCs/>
                <w:szCs w:val="21"/>
              </w:rPr>
            </w:pPr>
            <w:r>
              <w:rPr>
                <w:rFonts w:hint="eastAsia" w:ascii="宋体" w:hAnsi="宋体"/>
                <w:bCs/>
                <w:szCs w:val="21"/>
              </w:rPr>
              <w:t>环境目标</w:t>
            </w:r>
          </w:p>
          <w:p>
            <w:pPr>
              <w:spacing w:line="360" w:lineRule="auto"/>
              <w:ind w:firstLine="420" w:firstLineChars="200"/>
              <w:jc w:val="left"/>
              <w:rPr>
                <w:rFonts w:ascii="宋体" w:hAnsi="宋体"/>
                <w:bCs/>
                <w:szCs w:val="21"/>
              </w:rPr>
            </w:pPr>
            <w:r>
              <w:rPr>
                <w:rFonts w:hint="eastAsia" w:ascii="宋体" w:hAnsi="宋体"/>
                <w:bCs/>
                <w:szCs w:val="21"/>
              </w:rPr>
              <w:t xml:space="preserve">1、固体废弃物分类处理率100%；  </w:t>
            </w:r>
          </w:p>
          <w:p>
            <w:pPr>
              <w:spacing w:line="360" w:lineRule="auto"/>
              <w:ind w:firstLine="420" w:firstLineChars="200"/>
              <w:jc w:val="left"/>
              <w:rPr>
                <w:rFonts w:ascii="宋体" w:hAnsi="宋体"/>
                <w:bCs/>
                <w:szCs w:val="21"/>
              </w:rPr>
            </w:pPr>
            <w:r>
              <w:rPr>
                <w:rFonts w:hint="eastAsia" w:ascii="宋体" w:hAnsi="宋体"/>
                <w:bCs/>
                <w:szCs w:val="21"/>
              </w:rPr>
              <w:t>2、火灾事故为零。</w:t>
            </w:r>
          </w:p>
          <w:p>
            <w:pPr>
              <w:spacing w:line="360" w:lineRule="auto"/>
              <w:ind w:firstLine="420" w:firstLineChars="200"/>
              <w:jc w:val="left"/>
              <w:rPr>
                <w:rFonts w:ascii="宋体" w:hAnsi="宋体"/>
                <w:bCs/>
                <w:szCs w:val="21"/>
              </w:rPr>
            </w:pPr>
            <w:r>
              <w:rPr>
                <w:rFonts w:hint="eastAsia" w:ascii="宋体" w:hAnsi="宋体"/>
                <w:bCs/>
                <w:szCs w:val="21"/>
              </w:rPr>
              <w:t>3、噪音0污染</w:t>
            </w:r>
          </w:p>
          <w:p>
            <w:pPr>
              <w:spacing w:line="360" w:lineRule="auto"/>
              <w:ind w:firstLine="420" w:firstLineChars="200"/>
              <w:jc w:val="left"/>
              <w:rPr>
                <w:rFonts w:ascii="宋体" w:hAnsi="宋体"/>
                <w:bCs/>
                <w:szCs w:val="21"/>
              </w:rPr>
            </w:pPr>
            <w:r>
              <w:rPr>
                <w:rFonts w:hint="eastAsia" w:ascii="宋体" w:hAnsi="宋体"/>
                <w:bCs/>
                <w:szCs w:val="21"/>
              </w:rPr>
              <w:t xml:space="preserve">4、污水处理率100% </w:t>
            </w:r>
          </w:p>
          <w:p>
            <w:pPr>
              <w:spacing w:line="360" w:lineRule="auto"/>
              <w:ind w:firstLine="420" w:firstLineChars="200"/>
              <w:jc w:val="left"/>
              <w:rPr>
                <w:rFonts w:ascii="宋体" w:hAnsi="宋体"/>
                <w:bCs/>
                <w:szCs w:val="21"/>
              </w:rPr>
            </w:pPr>
            <w:r>
              <w:rPr>
                <w:rFonts w:hint="eastAsia" w:ascii="宋体" w:hAnsi="宋体"/>
                <w:bCs/>
                <w:szCs w:val="21"/>
              </w:rPr>
              <w:t>职业健康安全目标</w:t>
            </w:r>
          </w:p>
          <w:p>
            <w:pPr>
              <w:spacing w:line="360" w:lineRule="auto"/>
              <w:ind w:firstLine="420" w:firstLineChars="200"/>
              <w:jc w:val="left"/>
              <w:rPr>
                <w:rFonts w:ascii="宋体" w:hAnsi="宋体"/>
                <w:bCs/>
                <w:szCs w:val="21"/>
              </w:rPr>
            </w:pPr>
            <w:r>
              <w:rPr>
                <w:rFonts w:hint="eastAsia" w:ascii="宋体" w:hAnsi="宋体"/>
                <w:bCs/>
                <w:szCs w:val="21"/>
              </w:rPr>
              <w:t xml:space="preserve">1、火灾事故为零； </w:t>
            </w:r>
          </w:p>
          <w:p>
            <w:pPr>
              <w:spacing w:line="360" w:lineRule="auto"/>
              <w:ind w:firstLine="420" w:firstLineChars="200"/>
              <w:jc w:val="left"/>
              <w:rPr>
                <w:rFonts w:ascii="宋体" w:hAnsi="宋体"/>
                <w:bCs/>
                <w:szCs w:val="21"/>
              </w:rPr>
            </w:pPr>
            <w:r>
              <w:rPr>
                <w:rFonts w:hint="eastAsia" w:ascii="宋体" w:hAnsi="宋体"/>
                <w:bCs/>
                <w:szCs w:val="21"/>
              </w:rPr>
              <w:t>2、人身伤亡为零。</w:t>
            </w:r>
          </w:p>
          <w:p>
            <w:pPr>
              <w:spacing w:line="240" w:lineRule="exact"/>
              <w:ind w:firstLine="210" w:firstLineChars="100"/>
              <w:rPr>
                <w:rFonts w:ascii="宋体" w:hAnsi="宋体" w:eastAsia="宋体" w:cs="Times New Roman"/>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eastAsia="宋体" w:cs="Times New Roman"/>
                <w:b/>
                <w:color w:val="000000" w:themeColor="text1"/>
                <w:kern w:val="2"/>
                <w:sz w:val="20"/>
                <w:szCs w:val="20"/>
                <w:lang w:val="en-US" w:eastAsia="zh-CN" w:bidi="ar-SA"/>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 xml:space="preserve">2020 </w:t>
            </w:r>
            <w:r>
              <w:rPr>
                <w:rFonts w:hint="eastAsia" w:ascii="宋体" w:hAnsi="宋体" w:cs="宋体"/>
                <w:color w:val="000000" w:themeColor="text1"/>
              </w:rPr>
              <w:t>年8月10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人力资源管理</w:t>
            </w:r>
            <w:r>
              <w:rPr>
                <w:rFonts w:hint="eastAsia" w:ascii="宋体" w:hAnsi="宋体"/>
                <w:bCs/>
                <w:iCs/>
                <w:szCs w:val="22"/>
              </w:rPr>
              <w:t>及相关服务运行环境，可以维持管理体系的正常运行。</w:t>
            </w:r>
          </w:p>
          <w:p>
            <w:pPr>
              <w:spacing w:line="300" w:lineRule="exact"/>
              <w:rPr>
                <w:rFonts w:ascii="宋体" w:hAnsi="宋体" w:eastAsia="宋体" w:cs="Times New Roman"/>
                <w:b/>
                <w:color w:val="000000" w:themeColor="text1"/>
                <w:kern w:val="2"/>
                <w:sz w:val="20"/>
                <w:szCs w:val="20"/>
                <w:lang w:val="en-US" w:eastAsia="zh-CN" w:bidi="ar-SA"/>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sz w:val="20"/>
                <w:szCs w:val="20"/>
                <w:highlight w:val="yellow"/>
              </w:rPr>
            </w:pPr>
            <w:r>
              <w:rPr>
                <w:rFonts w:hint="eastAsia" w:ascii="宋体" w:hAnsi="宋体"/>
                <w:szCs w:val="21"/>
              </w:rPr>
              <w:t>办公场所面积</w:t>
            </w:r>
            <w:r>
              <w:rPr>
                <w:rFonts w:hint="eastAsia" w:ascii="宋体" w:hAnsi="宋体"/>
                <w:szCs w:val="21"/>
                <w:lang w:val="en-US" w:eastAsia="zh-CN"/>
              </w:rPr>
              <w:t>20</w:t>
            </w:r>
            <w:r>
              <w:rPr>
                <w:rFonts w:hint="eastAsia" w:ascii="宋体" w:hAnsi="宋体"/>
                <w:szCs w:val="21"/>
              </w:rPr>
              <w:t>00平方左右，生产场所面积</w:t>
            </w:r>
            <w:r>
              <w:rPr>
                <w:rFonts w:hint="eastAsia" w:ascii="宋体" w:hAnsi="宋体"/>
                <w:szCs w:val="21"/>
                <w:lang w:val="en-US" w:eastAsia="zh-CN"/>
              </w:rPr>
              <w:t>20</w:t>
            </w:r>
            <w:r>
              <w:rPr>
                <w:rFonts w:hint="eastAsia" w:ascii="宋体" w:hAnsi="宋体"/>
                <w:szCs w:val="21"/>
              </w:rPr>
              <w:t>000平方。</w:t>
            </w:r>
            <w:r>
              <w:rPr>
                <w:rFonts w:hint="eastAsia" w:ascii="宋体" w:hAnsi="宋体" w:cs="宋体"/>
                <w:szCs w:val="21"/>
              </w:rPr>
              <w:t>主要生产设备包括</w:t>
            </w:r>
            <w:r>
              <w:rPr>
                <w:rFonts w:hint="eastAsia" w:ascii="宋体" w:hAnsi="宋体"/>
                <w:color w:val="000000" w:themeColor="text1"/>
                <w:szCs w:val="21"/>
              </w:rPr>
              <w:t>全自动玻璃切片机、砂带磨边机、铝条切割机、玻璃清洗机、玻璃清洗干燥机、丁胶涂布机、钢化炉、行走吸盘、中空玻璃板压生产线、钢化生产线和办公设备等</w:t>
            </w:r>
            <w:r>
              <w:rPr>
                <w:rFonts w:hint="eastAsia" w:ascii="宋体" w:hAnsi="宋体"/>
                <w:szCs w:val="21"/>
              </w:rPr>
              <w:t>，可以满足</w:t>
            </w:r>
            <w:r>
              <w:rPr>
                <w:rFonts w:hint="eastAsia" w:ascii="宋体" w:hAnsi="宋体" w:cs="宋体"/>
                <w:szCs w:val="21"/>
              </w:rPr>
              <w:t>产品生产需求。对设备按月方式进行维护保养，并实施。特种设备：</w:t>
            </w:r>
            <w:r>
              <w:rPr>
                <w:rFonts w:hint="eastAsia" w:ascii="宋体" w:hAnsi="宋体" w:cs="宋体"/>
                <w:szCs w:val="21"/>
                <w:lang w:val="en-US" w:eastAsia="zh-CN"/>
              </w:rPr>
              <w:t>叉车、</w:t>
            </w:r>
            <w:r>
              <w:rPr>
                <w:rFonts w:hint="eastAsia" w:ascii="宋体" w:hAnsi="宋体"/>
                <w:szCs w:val="21"/>
              </w:rPr>
              <w:t>行车</w:t>
            </w:r>
            <w:r>
              <w:rPr>
                <w:rFonts w:hint="eastAsia" w:ascii="宋体" w:hAnsi="宋体" w:cs="宋体"/>
                <w:szCs w:val="21"/>
              </w:rPr>
              <w:t>。公司未建立信息管理系统用于生产和服务。</w:t>
            </w:r>
          </w:p>
          <w:p>
            <w:pPr>
              <w:spacing w:line="240" w:lineRule="exact"/>
              <w:rPr>
                <w:rFonts w:ascii="宋体" w:hAnsi="宋体"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eastAsia="宋体" w:cs="Times New Roman"/>
                <w:b/>
                <w:color w:val="000000" w:themeColor="text1"/>
                <w:kern w:val="2"/>
                <w:sz w:val="20"/>
                <w:szCs w:val="20"/>
                <w:lang w:val="en-US" w:eastAsia="zh-CN" w:bidi="ar-SA"/>
              </w:rPr>
            </w:pPr>
            <w:r>
              <w:rPr>
                <w:rFonts w:hint="eastAsia" w:ascii="宋体" w:hAnsi="宋体" w:cs="宋体"/>
                <w:szCs w:val="21"/>
              </w:rPr>
              <w:t>办公、</w:t>
            </w:r>
            <w:r>
              <w:rPr>
                <w:rFonts w:hint="eastAsia" w:ascii="宋体" w:hAnsi="宋体"/>
                <w:szCs w:val="21"/>
              </w:rPr>
              <w:t>生产</w:t>
            </w:r>
            <w:r>
              <w:rPr>
                <w:rFonts w:hint="eastAsia" w:ascii="宋体" w:hAnsi="宋体" w:cs="宋体"/>
                <w:szCs w:val="21"/>
              </w:rPr>
              <w:t>场所和内设备布置合理，通道畅通，照明设施齐全，均配备了消防设施等设施。办公室明亮，培训场所光线较充足。每月由综合部对工作环境进行定期检查。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eastAsia="宋体" w:cs="Times New Roman"/>
                <w:b/>
                <w:color w:val="000000" w:themeColor="text1"/>
                <w:kern w:val="2"/>
                <w:sz w:val="20"/>
                <w:szCs w:val="20"/>
                <w:lang w:val="en-US" w:eastAsia="zh-CN" w:bidi="ar-SA"/>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eastAsia="宋体" w:cs="Times New Roman"/>
                <w:b/>
                <w:color w:val="000000" w:themeColor="text1"/>
                <w:kern w:val="2"/>
                <w:sz w:val="20"/>
                <w:szCs w:val="20"/>
                <w:lang w:val="en-US" w:eastAsia="zh-CN" w:bidi="ar-SA"/>
              </w:rPr>
            </w:pPr>
            <w:r>
              <w:rPr>
                <w:rFonts w:hint="eastAsia" w:ascii="宋体" w:hAnsi="宋体"/>
                <w:sz w:val="20"/>
                <w:szCs w:val="20"/>
              </w:rPr>
              <w:t>消防栓、灭火器、冲洗装置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eastAsia="宋体" w:cs="Times New Roman"/>
                <w:b/>
                <w:color w:val="000000" w:themeColor="text1"/>
                <w:kern w:val="2"/>
                <w:sz w:val="20"/>
                <w:szCs w:val="20"/>
                <w:lang w:val="en-US" w:eastAsia="zh-CN" w:bidi="ar-SA"/>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0"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leftChars="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组织重要环境因素为潜在火灾</w:t>
            </w:r>
            <w:r>
              <w:rPr>
                <w:rFonts w:hint="eastAsia" w:asciiTheme="minorEastAsia" w:hAnsiTheme="minorEastAsia" w:eastAsiaTheme="minorEastAsia"/>
                <w:bCs/>
                <w:iCs/>
                <w:lang w:eastAsia="zh-CN"/>
              </w:rPr>
              <w:t>、</w:t>
            </w:r>
            <w:r>
              <w:rPr>
                <w:rFonts w:hint="eastAsia" w:asciiTheme="minorEastAsia" w:hAnsiTheme="minorEastAsia" w:eastAsiaTheme="minorEastAsia"/>
                <w:bCs/>
                <w:iCs/>
              </w:rPr>
              <w:t>固废（含危废）的排放</w:t>
            </w:r>
            <w:r>
              <w:rPr>
                <w:rFonts w:hint="eastAsia" w:asciiTheme="minorEastAsia" w:hAnsiTheme="minorEastAsia" w:eastAsiaTheme="minorEastAsia"/>
                <w:bCs/>
                <w:iCs/>
                <w:lang w:eastAsia="zh-CN"/>
              </w:rPr>
              <w:t>、</w:t>
            </w:r>
            <w:r>
              <w:rPr>
                <w:rFonts w:hint="eastAsia" w:asciiTheme="minorEastAsia" w:hAnsiTheme="minorEastAsia" w:eastAsiaTheme="minorEastAsia"/>
                <w:bCs/>
                <w:iCs/>
              </w:rPr>
              <w:t>废水排放</w:t>
            </w:r>
            <w:r>
              <w:rPr>
                <w:rFonts w:hint="eastAsia" w:asciiTheme="minorEastAsia" w:hAnsiTheme="minorEastAsia" w:eastAsiaTheme="minorEastAsia"/>
                <w:bCs/>
                <w:iCs/>
                <w:lang w:eastAsia="zh-CN"/>
              </w:rPr>
              <w:t>、</w:t>
            </w:r>
            <w:r>
              <w:rPr>
                <w:rFonts w:hint="eastAsia" w:asciiTheme="minorEastAsia" w:hAnsiTheme="minorEastAsia" w:eastAsiaTheme="minorEastAsia"/>
                <w:bCs/>
                <w:iCs/>
              </w:rPr>
              <w:t>噪音</w:t>
            </w:r>
            <w:r>
              <w:rPr>
                <w:rFonts w:hint="eastAsia" w:asciiTheme="minorEastAsia" w:hAnsiTheme="minorEastAsia" w:eastAsiaTheme="minorEastAsia"/>
                <w:bCs/>
                <w:iCs/>
                <w:lang w:eastAsia="zh-CN"/>
              </w:rPr>
              <w:t>、</w:t>
            </w:r>
            <w:r>
              <w:rPr>
                <w:rFonts w:hint="eastAsia" w:asciiTheme="minorEastAsia" w:hAnsiTheme="minorEastAsia" w:eastAsiaTheme="minorEastAsia"/>
                <w:bCs/>
                <w:iCs/>
              </w:rPr>
              <w:t>废气排放，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固废的控制</w:t>
            </w:r>
            <w:r>
              <w:rPr>
                <w:rFonts w:hint="eastAsia" w:asciiTheme="minorEastAsia" w:hAnsiTheme="minorEastAsia" w:eastAsiaTheme="minorEastAsia"/>
                <w:bCs/>
                <w:iCs/>
                <w:lang w:eastAsia="zh-CN"/>
              </w:rPr>
              <w:t>、</w:t>
            </w:r>
            <w:r>
              <w:rPr>
                <w:rFonts w:hint="eastAsia"/>
                <w:b w:val="0"/>
                <w:bCs/>
                <w:sz w:val="20"/>
              </w:rPr>
              <w:t>废水排放</w:t>
            </w:r>
            <w:r>
              <w:rPr>
                <w:rFonts w:hint="eastAsia"/>
                <w:b w:val="0"/>
                <w:bCs/>
                <w:sz w:val="20"/>
                <w:lang w:eastAsia="zh-CN"/>
              </w:rPr>
              <w:t>、</w:t>
            </w:r>
            <w:r>
              <w:rPr>
                <w:rFonts w:hint="eastAsia"/>
                <w:b w:val="0"/>
                <w:bCs/>
                <w:sz w:val="20"/>
              </w:rPr>
              <w:t>噪音</w:t>
            </w:r>
            <w:r>
              <w:rPr>
                <w:rFonts w:hint="eastAsia"/>
                <w:b w:val="0"/>
                <w:bCs/>
                <w:sz w:val="20"/>
                <w:lang w:eastAsia="zh-CN"/>
              </w:rPr>
              <w:t>、</w:t>
            </w:r>
            <w:r>
              <w:rPr>
                <w:rFonts w:hint="eastAsia"/>
                <w:b w:val="0"/>
                <w:bCs/>
                <w:sz w:val="20"/>
              </w:rPr>
              <w:t>废气排放</w:t>
            </w:r>
            <w:r>
              <w:rPr>
                <w:rFonts w:hint="eastAsia"/>
                <w:b w:val="0"/>
                <w:bCs/>
                <w:sz w:val="20"/>
                <w:lang w:val="en-US" w:eastAsia="zh-CN"/>
              </w:rPr>
              <w:t>的控制、</w:t>
            </w:r>
            <w:r>
              <w:rPr>
                <w:rFonts w:hint="eastAsia" w:asciiTheme="minorEastAsia" w:hAnsiTheme="minorEastAsia" w:eastAsiaTheme="minorEastAsia"/>
                <w:bCs/>
                <w:iCs/>
              </w:rPr>
              <w:t>潜在火灾的应急预案等。</w:t>
            </w:r>
          </w:p>
          <w:p>
            <w:pPr>
              <w:spacing w:line="240" w:lineRule="exact"/>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组织建立了危险源识别、评价控制程序，识别评价了危险源、风险相关的过程，评价出了重要危险源（火灾</w:t>
            </w:r>
            <w:r>
              <w:rPr>
                <w:rFonts w:hint="eastAsia" w:asciiTheme="minorEastAsia" w:hAnsiTheme="minorEastAsia" w:eastAsiaTheme="minorEastAsia"/>
                <w:bCs/>
                <w:iCs/>
                <w:lang w:eastAsia="zh-CN"/>
              </w:rPr>
              <w:t>、</w:t>
            </w:r>
            <w:r>
              <w:rPr>
                <w:rFonts w:hint="eastAsia" w:asciiTheme="minorEastAsia" w:hAnsiTheme="minorEastAsia" w:eastAsiaTheme="minorEastAsia"/>
                <w:bCs/>
                <w:iCs/>
              </w:rPr>
              <w:t>机械伤害</w:t>
            </w:r>
            <w:r>
              <w:rPr>
                <w:rFonts w:hint="eastAsia" w:asciiTheme="minorEastAsia" w:hAnsiTheme="minorEastAsia" w:eastAsiaTheme="minorEastAsia"/>
                <w:bCs/>
                <w:iCs/>
                <w:lang w:eastAsia="zh-CN"/>
              </w:rPr>
              <w:t>、</w:t>
            </w:r>
            <w:r>
              <w:rPr>
                <w:rFonts w:hint="eastAsia" w:asciiTheme="minorEastAsia" w:hAnsiTheme="minorEastAsia" w:eastAsiaTheme="minorEastAsia"/>
                <w:bCs/>
                <w:iCs/>
              </w:rPr>
              <w:t>职业病</w:t>
            </w:r>
            <w:r>
              <w:rPr>
                <w:rFonts w:hint="eastAsia" w:asciiTheme="minorEastAsia" w:hAnsiTheme="minorEastAsia" w:eastAsiaTheme="minorEastAsia"/>
                <w:bCs/>
                <w:iCs/>
                <w:lang w:eastAsia="zh-CN"/>
              </w:rPr>
              <w:t>、</w:t>
            </w:r>
            <w:r>
              <w:rPr>
                <w:rFonts w:hint="eastAsia" w:asciiTheme="minorEastAsia" w:hAnsiTheme="minorEastAsia" w:eastAsiaTheme="minorEastAsia"/>
                <w:bCs/>
                <w:iCs/>
              </w:rPr>
              <w:t>触电</w:t>
            </w:r>
            <w:r>
              <w:rPr>
                <w:rFonts w:hint="eastAsia" w:asciiTheme="minorEastAsia" w:hAnsiTheme="minorEastAsia" w:eastAsiaTheme="minorEastAsia"/>
                <w:bCs/>
                <w:iCs/>
                <w:lang w:eastAsia="zh-CN"/>
              </w:rPr>
              <w:t>、</w:t>
            </w:r>
            <w:r>
              <w:rPr>
                <w:rFonts w:hint="eastAsia" w:asciiTheme="minorEastAsia" w:hAnsiTheme="minorEastAsia" w:eastAsiaTheme="minorEastAsia"/>
                <w:bCs/>
                <w:iCs/>
              </w:rPr>
              <w:t>烫伤等），与之相关的过程有客户需求分析、合同签订、销售过程，针对不可接受风险制定了管理方案。控制措施实施有效。</w:t>
            </w:r>
          </w:p>
          <w:p>
            <w:pPr>
              <w:spacing w:line="240" w:lineRule="exact"/>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cs="Times New Roman" w:asciiTheme="minorEastAsia" w:hAnsiTheme="minorEastAsia" w:eastAsiaTheme="minorEastAsia"/>
                <w:b/>
                <w:color w:val="000000" w:themeColor="text1"/>
                <w:spacing w:val="-4"/>
                <w:kern w:val="2"/>
                <w:sz w:val="20"/>
                <w:szCs w:val="20"/>
                <w:lang w:val="en-US" w:eastAsia="zh-CN" w:bidi="ar-SA"/>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sz w:val="20"/>
                <w:szCs w:val="20"/>
              </w:rPr>
            </w:pPr>
            <w:r>
              <w:rPr>
                <w:rFonts w:hint="eastAsia"/>
                <w:b/>
                <w:sz w:val="20"/>
                <w:szCs w:val="20"/>
              </w:rPr>
              <w:t>10. 对特种设备的维护; （适用时）</w:t>
            </w:r>
          </w:p>
          <w:p>
            <w:pPr>
              <w:spacing w:line="240" w:lineRule="exact"/>
              <w:rPr>
                <w:rFonts w:hint="default" w:ascii="Times New Roman" w:hAnsi="Times New Roman" w:eastAsia="宋体" w:cs="Times New Roman"/>
                <w:b/>
                <w:kern w:val="2"/>
                <w:sz w:val="20"/>
                <w:szCs w:val="20"/>
                <w:lang w:val="en-US" w:eastAsia="zh-CN" w:bidi="ar-SA"/>
              </w:rPr>
            </w:pPr>
            <w:r>
              <w:rPr>
                <w:rFonts w:hint="eastAsia" w:cs="Times New Roman"/>
                <w:b/>
                <w:kern w:val="2"/>
                <w:sz w:val="20"/>
                <w:szCs w:val="20"/>
                <w:lang w:val="en-US" w:eastAsia="zh-CN" w:bidi="ar-SA"/>
              </w:rPr>
              <w:t>有</w:t>
            </w:r>
            <w:r>
              <w:rPr>
                <w:rFonts w:hint="eastAsia"/>
                <w:b/>
                <w:sz w:val="20"/>
                <w:szCs w:val="20"/>
              </w:rPr>
              <w:t>出示有效年检报告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sz w:val="20"/>
                <w:szCs w:val="20"/>
              </w:rPr>
            </w:pPr>
            <w:r>
              <w:rPr>
                <w:rFonts w:hint="eastAsia"/>
                <w:b/>
                <w:sz w:val="20"/>
                <w:szCs w:val="20"/>
              </w:rPr>
              <w:t>11 .对危险化学品销售、使用、储存、运输处置，规定的执行力度(必要时); （适用时）</w:t>
            </w:r>
          </w:p>
          <w:p>
            <w:pPr>
              <w:spacing w:line="240" w:lineRule="exact"/>
              <w:rPr>
                <w:rFonts w:ascii="Times New Roman" w:hAnsi="Times New Roman" w:eastAsia="宋体" w:cs="Times New Roman"/>
                <w:kern w:val="2"/>
                <w:sz w:val="20"/>
                <w:szCs w:val="20"/>
                <w:lang w:val="en-US" w:eastAsia="zh-CN" w:bidi="ar-SA"/>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left="105" w:hanging="105" w:hanging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通过2020年9月-2021年</w:t>
            </w:r>
            <w:r>
              <w:rPr>
                <w:rFonts w:hint="eastAsia" w:ascii="宋体" w:hAnsi="宋体" w:cs="宋体"/>
                <w:color w:val="000000"/>
                <w:szCs w:val="21"/>
                <w:lang w:val="en-US" w:eastAsia="zh-CN"/>
              </w:rPr>
              <w:t>4</w:t>
            </w:r>
            <w:r>
              <w:rPr>
                <w:rFonts w:hint="eastAsia" w:ascii="宋体" w:hAnsi="宋体" w:cs="宋体"/>
                <w:color w:val="000000"/>
                <w:szCs w:val="21"/>
              </w:rPr>
              <w:t>月目标的测量，总体已达到或超过了规定的目标值。</w:t>
            </w:r>
          </w:p>
          <w:p>
            <w:pPr>
              <w:spacing w:line="240" w:lineRule="exact"/>
              <w:ind w:firstLine="100" w:firstLineChars="50"/>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9"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rFonts w:ascii="宋体" w:hAnsi="宋体"/>
                <w:color w:val="000000" w:themeColor="text1"/>
                <w:szCs w:val="21"/>
              </w:rPr>
            </w:pPr>
            <w:r>
              <w:rPr>
                <w:rFonts w:hint="eastAsia"/>
                <w:b/>
                <w:color w:val="000000" w:themeColor="text1"/>
                <w:sz w:val="20"/>
                <w:szCs w:val="20"/>
              </w:rPr>
              <w:t>3. 内审（包括内审策划审核方案中考虑拟审核的过程和区域的状况和重要性）</w:t>
            </w:r>
          </w:p>
          <w:p>
            <w:pPr>
              <w:spacing w:line="240" w:lineRule="exact"/>
              <w:rPr>
                <w:rFonts w:ascii="Times New Roman" w:hAnsi="Times New Roman" w:eastAsia="宋体" w:cs="Times New Roman"/>
                <w:b/>
                <w:color w:val="000000" w:themeColor="text1"/>
                <w:kern w:val="2"/>
                <w:sz w:val="20"/>
                <w:szCs w:val="20"/>
                <w:highlight w:val="magenta"/>
                <w:lang w:val="en-US" w:eastAsia="zh-CN" w:bidi="ar-SA"/>
              </w:rPr>
            </w:pPr>
            <w:r>
              <w:rPr>
                <w:rFonts w:hint="eastAsia" w:ascii="宋体" w:hAnsi="宋体"/>
                <w:color w:val="000000" w:themeColor="text1"/>
                <w:szCs w:val="21"/>
              </w:rPr>
              <w:t>建立有《内部审核控制程序》，规定了内审频次一年一次，内审时间：2020年11月10日，拟定了审核实施表，明确了内审范围，内审人员经培训合格上岗，能力满足要求，未出现审核本部门情况，《内审不符合项报告》1份，</w:t>
            </w:r>
            <w:r>
              <w:rPr>
                <w:rFonts w:hint="eastAsia" w:ascii="宋体" w:hAnsi="宋体"/>
                <w:szCs w:val="21"/>
              </w:rPr>
              <w:t>涉及</w:t>
            </w:r>
            <w:r>
              <w:rPr>
                <w:rFonts w:hint="eastAsia" w:ascii="宋体" w:hAnsi="宋体"/>
                <w:szCs w:val="21"/>
                <w:lang w:val="en-US" w:eastAsia="zh-CN"/>
              </w:rPr>
              <w:t>生产技术部</w:t>
            </w:r>
            <w:r>
              <w:rPr>
                <w:rFonts w:hint="eastAsia" w:ascii="宋体" w:hAnsi="宋体"/>
                <w:szCs w:val="21"/>
                <w:highlight w:val="none"/>
              </w:rPr>
              <w:t>不符合标准</w:t>
            </w:r>
            <w:r>
              <w:rPr>
                <w:rFonts w:hint="eastAsia" w:ascii="宋体" w:hAnsi="宋体"/>
                <w:szCs w:val="21"/>
                <w:highlight w:val="none"/>
                <w:lang w:val="en-US" w:eastAsia="zh-CN"/>
              </w:rPr>
              <w:t>ES8.2</w:t>
            </w:r>
            <w:r>
              <w:rPr>
                <w:rFonts w:hint="eastAsia" w:ascii="宋体" w:hAnsi="宋体"/>
                <w:szCs w:val="21"/>
                <w:highlight w:val="none"/>
              </w:rPr>
              <w:t>条款，审核中发现没有“事故应急预案”</w:t>
            </w:r>
            <w:r>
              <w:rPr>
                <w:rFonts w:hint="eastAsia" w:ascii="宋体" w:hAnsi="宋体"/>
                <w:color w:val="000000" w:themeColor="text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rFonts w:ascii="Times New Roman" w:hAnsi="Times New Roman" w:eastAsia="宋体" w:cs="Times New Roman"/>
                <w:b/>
                <w:color w:val="000000" w:themeColor="text1"/>
                <w:kern w:val="2"/>
                <w:sz w:val="20"/>
                <w:szCs w:val="20"/>
                <w:highlight w:val="magenta"/>
                <w:lang w:val="en-US" w:eastAsia="zh-CN" w:bidi="ar-SA"/>
              </w:rPr>
            </w:pPr>
            <w:r>
              <w:rPr>
                <w:rFonts w:hint="eastAsia" w:ascii="宋体" w:hAnsi="宋体" w:cs="宋体"/>
                <w:szCs w:val="21"/>
              </w:rPr>
              <w:t>管理评审频次为一年一次、本次管理评审于2020年12月10日由总经理主持完成、提供主要输入材料有各部门总结，输入信息基本充分和满足要求。输出见“管理评审报告”,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numPr>
                <w:ilvl w:val="0"/>
                <w:numId w:val="4"/>
              </w:numPr>
              <w:spacing w:line="240" w:lineRule="exact"/>
              <w:rPr>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spacing w:line="400" w:lineRule="exact"/>
              <w:rPr>
                <w:rFonts w:ascii="Times New Roman" w:hAnsi="Times New Roman" w:eastAsia="宋体" w:cs="Times New Roman"/>
                <w:b/>
                <w:kern w:val="2"/>
                <w:sz w:val="20"/>
                <w:szCs w:val="20"/>
                <w:lang w:val="en-US" w:eastAsia="zh-CN" w:bidi="ar-SA"/>
              </w:rPr>
            </w:pPr>
            <w:r>
              <w:rPr>
                <w:rFonts w:hint="eastAsia" w:ascii="宋体" w:hAnsi="宋体"/>
                <w:szCs w:val="21"/>
                <w:highlight w:val="none"/>
              </w:rPr>
              <w:t>202</w:t>
            </w:r>
            <w:r>
              <w:rPr>
                <w:rFonts w:hint="eastAsia" w:ascii="宋体" w:hAnsi="宋体"/>
                <w:szCs w:val="21"/>
                <w:highlight w:val="none"/>
                <w:lang w:val="en-US" w:eastAsia="zh-CN"/>
              </w:rPr>
              <w:t>0</w:t>
            </w:r>
            <w:r>
              <w:rPr>
                <w:rFonts w:hint="eastAsia"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月进行了</w:t>
            </w:r>
            <w:r>
              <w:rPr>
                <w:rFonts w:hint="eastAsia" w:ascii="宋体" w:hAnsi="宋体"/>
                <w:szCs w:val="21"/>
                <w:highlight w:val="none"/>
                <w:lang w:val="en-US" w:eastAsia="zh-CN"/>
              </w:rPr>
              <w:t>环境</w:t>
            </w:r>
            <w:r>
              <w:rPr>
                <w:rFonts w:hint="eastAsia" w:ascii="宋体" w:hAnsi="宋体"/>
                <w:szCs w:val="21"/>
                <w:highlight w:val="none"/>
              </w:rPr>
              <w:t>检测，检测报告：渝大安（环）检｛2020｝第125号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400" w:lineRule="exact"/>
              <w:rPr>
                <w:color w:val="000000" w:themeColor="text1"/>
                <w:szCs w:val="21"/>
              </w:rPr>
            </w:pPr>
            <w:r>
              <w:rPr>
                <w:rFonts w:hint="eastAsia"/>
                <w:color w:val="000000" w:themeColor="text1"/>
                <w:szCs w:val="21"/>
              </w:rPr>
              <w:t>提供</w:t>
            </w:r>
            <w:r>
              <w:rPr>
                <w:rFonts w:hint="eastAsia"/>
                <w:color w:val="000000"/>
                <w:szCs w:val="21"/>
                <w:lang w:val="en-US" w:eastAsia="zh-CN"/>
              </w:rPr>
              <w:t>环境影响评价批准书，编号：渝（綦）环准｛2020｝051号</w:t>
            </w:r>
          </w:p>
          <w:p>
            <w:pPr>
              <w:spacing w:line="240" w:lineRule="exact"/>
              <w:rPr>
                <w:rFonts w:ascii="Times New Roman" w:hAnsi="Times New Roman" w:eastAsia="宋体" w:cs="Times New Roman"/>
                <w:b/>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FF0000"/>
                <w:sz w:val="20"/>
                <w:szCs w:val="20"/>
              </w:rPr>
            </w:pPr>
            <w:r>
              <w:rPr>
                <w:rFonts w:hint="eastAsia"/>
                <w:b/>
                <w:color w:val="000000" w:themeColor="text1"/>
                <w:sz w:val="20"/>
                <w:szCs w:val="20"/>
              </w:rPr>
              <w:t>7. OHSMS是否按规定对职业健康安全项目进行定期测量，结果是否满足相关要求：</w:t>
            </w:r>
          </w:p>
          <w:p>
            <w:pPr>
              <w:spacing w:line="400" w:lineRule="exact"/>
              <w:rPr>
                <w:rFonts w:ascii="Times New Roman" w:hAnsi="Times New Roman" w:eastAsia="宋体" w:cs="Times New Roman"/>
                <w:b/>
                <w:kern w:val="2"/>
                <w:sz w:val="20"/>
                <w:szCs w:val="20"/>
                <w:lang w:val="en-US" w:eastAsia="zh-CN" w:bidi="ar-SA"/>
              </w:rPr>
            </w:pPr>
            <w:r>
              <w:rPr>
                <w:rFonts w:hint="eastAsia" w:ascii="宋体" w:hAnsi="宋体"/>
                <w:szCs w:val="21"/>
                <w:highlight w:val="none"/>
              </w:rPr>
              <w:t>提供有《职业病危害因素检测报告》，编号：渝</w:t>
            </w:r>
            <w:r>
              <w:rPr>
                <w:rFonts w:hint="eastAsia" w:ascii="宋体" w:hAnsi="宋体"/>
                <w:szCs w:val="21"/>
                <w:highlight w:val="none"/>
                <w:lang w:val="en-US" w:eastAsia="zh-CN"/>
              </w:rPr>
              <w:t>惠科</w:t>
            </w:r>
            <w:r>
              <w:rPr>
                <w:rFonts w:hint="eastAsia" w:ascii="宋体" w:hAnsi="宋体"/>
                <w:szCs w:val="21"/>
                <w:highlight w:val="none"/>
              </w:rPr>
              <w:t>（职</w:t>
            </w:r>
            <w:r>
              <w:rPr>
                <w:rFonts w:hint="eastAsia" w:ascii="宋体" w:hAnsi="宋体"/>
                <w:szCs w:val="21"/>
                <w:highlight w:val="none"/>
                <w:lang w:val="en-US" w:eastAsia="zh-CN"/>
              </w:rPr>
              <w:t>测</w:t>
            </w:r>
            <w:r>
              <w:rPr>
                <w:rFonts w:hint="eastAsia" w:ascii="宋体" w:hAnsi="宋体"/>
                <w:szCs w:val="21"/>
                <w:highlight w:val="none"/>
              </w:rPr>
              <w:t>）（202</w:t>
            </w:r>
            <w:r>
              <w:rPr>
                <w:rFonts w:hint="eastAsia" w:ascii="宋体" w:hAnsi="宋体"/>
                <w:szCs w:val="21"/>
                <w:highlight w:val="none"/>
                <w:lang w:val="en-US" w:eastAsia="zh-CN"/>
              </w:rPr>
              <w:t>0</w:t>
            </w:r>
            <w:r>
              <w:rPr>
                <w:rFonts w:hint="eastAsia" w:ascii="宋体" w:hAnsi="宋体"/>
                <w:szCs w:val="21"/>
                <w:highlight w:val="none"/>
              </w:rPr>
              <w:t>）059</w:t>
            </w:r>
            <w:r>
              <w:rPr>
                <w:rFonts w:hint="eastAsia" w:ascii="宋体" w:hAnsi="宋体"/>
                <w:szCs w:val="21"/>
                <w:highlight w:val="none"/>
                <w:lang w:val="en-US" w:eastAsia="zh-CN"/>
              </w:rPr>
              <w:t>9</w:t>
            </w:r>
            <w:r>
              <w:rPr>
                <w:rFonts w:hint="eastAsia" w:ascii="宋体" w:hAnsi="宋体"/>
                <w:szCs w:val="21"/>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ascii="Times New Roman" w:hAnsi="Times New Roman" w:eastAsia="宋体" w:cs="Times New Roman"/>
                <w:b/>
                <w:kern w:val="2"/>
                <w:sz w:val="20"/>
                <w:szCs w:val="20"/>
                <w:lang w:val="en-US" w:eastAsia="zh-CN" w:bidi="ar-SA"/>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numPr>
                <w:ilvl w:val="0"/>
                <w:numId w:val="5"/>
              </w:numPr>
              <w:spacing w:line="240" w:lineRule="exact"/>
              <w:rPr>
                <w:b/>
                <w:color w:val="000000" w:themeColor="text1"/>
                <w:sz w:val="20"/>
                <w:szCs w:val="20"/>
              </w:rPr>
            </w:pPr>
            <w:r>
              <w:rPr>
                <w:rFonts w:hint="eastAsia"/>
                <w:b/>
                <w:color w:val="000000" w:themeColor="text1"/>
                <w:sz w:val="20"/>
                <w:szCs w:val="20"/>
              </w:rPr>
              <w:t>其他能够标明组织绩效、信誉的证据/信息：</w:t>
            </w:r>
          </w:p>
          <w:p>
            <w:pPr>
              <w:widowControl/>
              <w:spacing w:line="240" w:lineRule="exact"/>
              <w:rPr>
                <w:rFonts w:ascii="Times New Roman" w:hAnsi="Times New Roman" w:eastAsia="宋体" w:cs="Times New Roman"/>
                <w:b/>
                <w:kern w:val="2"/>
                <w:sz w:val="20"/>
                <w:szCs w:val="20"/>
                <w:lang w:val="en-US" w:eastAsia="zh-CN" w:bidi="ar-SA"/>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ascii="Times New Roman" w:hAnsi="Times New Roman" w:eastAsia="宋体" w:cs="Times New Roman"/>
                <w:b/>
                <w:spacing w:val="-20"/>
                <w:kern w:val="2"/>
                <w:sz w:val="20"/>
                <w:szCs w:val="20"/>
                <w:lang w:val="en-US" w:eastAsia="zh-CN" w:bidi="ar-SA"/>
              </w:rPr>
            </w:pPr>
            <w:r>
              <w:rPr>
                <w:rFonts w:hint="eastAsia"/>
                <w:b/>
                <w:sz w:val="20"/>
                <w:szCs w:val="20"/>
              </w:rPr>
              <w:t>无整改问题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严重不符合项，一般不符合</w:t>
      </w:r>
      <w:r>
        <w:rPr>
          <w:rFonts w:hint="eastAsia"/>
          <w:b/>
          <w:color w:val="000000" w:themeColor="text1"/>
          <w:lang w:val="en-US" w:eastAsia="zh-CN"/>
        </w:rPr>
        <w:t>1</w:t>
      </w:r>
      <w:bookmarkStart w:id="22" w:name="_GoBack"/>
      <w:bookmarkEnd w:id="22"/>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37" w:leftChars="-337" w:hanging="571" w:hangingChars="271"/>
        <w:rPr>
          <w:rFonts w:hint="eastAsia" w:ascii="宋体" w:hAnsi="宋体" w:eastAsia="宋体"/>
          <w:b/>
          <w:color w:val="000000" w:themeColor="text1"/>
          <w:szCs w:val="21"/>
          <w:lang w:val="en-US" w:eastAsia="zh-CN"/>
        </w:rPr>
      </w:pPr>
      <w:r>
        <w:rPr>
          <w:rFonts w:hint="eastAsia" w:ascii="宋体" w:hAnsi="宋体"/>
          <w:b/>
          <w:color w:val="000000" w:themeColor="text1"/>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10080" w:type="dxa"/>
            <w:vAlign w:val="top"/>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ascii="宋体" w:hAnsi="宋体"/>
                <w:b/>
                <w:bCs/>
                <w:kern w:val="0"/>
                <w:sz w:val="22"/>
                <w:szCs w:val="22"/>
              </w:rPr>
              <w:t>■</w:t>
            </w:r>
            <w:r>
              <w:rPr>
                <w:rFonts w:hint="eastAsia"/>
                <w:b/>
                <w:color w:val="000000" w:themeColor="text1"/>
                <w:sz w:val="22"/>
                <w:szCs w:val="22"/>
              </w:rPr>
              <w:t xml:space="preserve">EMS </w:t>
            </w:r>
            <w:r>
              <w:rPr>
                <w:rFonts w:hint="eastAsia" w:ascii="宋体" w:hAnsi="宋体"/>
                <w:b/>
                <w:bCs/>
                <w:kern w:val="0"/>
                <w:sz w:val="22"/>
                <w:szCs w:val="22"/>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szCs w:val="21"/>
                <w:lang w:eastAsia="zh-CN"/>
              </w:rPr>
              <w:t>建筑钢化玻璃、建筑夹层玻璃、建筑中空玻璃、防火玻璃的加工</w:t>
            </w:r>
            <w:r>
              <w:rPr>
                <w:rFonts w:hint="eastAsia" w:ascii="宋体" w:hAnsi="宋体"/>
                <w:szCs w:val="21"/>
              </w:rPr>
              <w:t>所涉及的相关环境管理活动（限3C许可范围内）</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szCs w:val="21"/>
                <w:lang w:eastAsia="zh-CN"/>
              </w:rPr>
              <w:t>建筑钢化玻璃、建筑夹层玻璃、建筑中空玻璃、防火玻璃的加工</w:t>
            </w:r>
            <w:r>
              <w:rPr>
                <w:rFonts w:hint="eastAsia" w:ascii="宋体" w:hAnsi="宋体"/>
                <w:szCs w:val="21"/>
              </w:rPr>
              <w:t>所涉及的相关环境管理活动（限3C许可范围内）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drawing>
          <wp:anchor distT="0" distB="0" distL="114300" distR="114300" simplePos="0" relativeHeight="251662336" behindDoc="0" locked="0" layoutInCell="1" allowOverlap="1">
            <wp:simplePos x="0" y="0"/>
            <wp:positionH relativeFrom="column">
              <wp:posOffset>1652905</wp:posOffset>
            </wp:positionH>
            <wp:positionV relativeFrom="paragraph">
              <wp:posOffset>375920</wp:posOffset>
            </wp:positionV>
            <wp:extent cx="371475" cy="341630"/>
            <wp:effectExtent l="0" t="0" r="9525" b="8890"/>
            <wp:wrapNone/>
            <wp:docPr id="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Desktop\文平1.jpg"/>
                    <pic:cNvPicPr>
                      <a:picLocks noChangeAspect="1"/>
                    </pic:cNvPicPr>
                  </pic:nvPicPr>
                  <pic:blipFill>
                    <a:blip r:embed="rId6" cstate="print"/>
                    <a:stretch>
                      <a:fillRect/>
                    </a:stretch>
                  </pic:blipFill>
                  <pic:spPr>
                    <a:xfrm>
                      <a:off x="0" y="0"/>
                      <a:ext cx="371475" cy="34163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rPr>
          <w:rFonts w:hint="eastAsia" w:eastAsia="宋体"/>
          <w:lang w:eastAsia="zh-CN"/>
        </w:rPr>
        <w:drawing>
          <wp:anchor distT="0" distB="0" distL="114300" distR="114300" simplePos="0" relativeHeight="251663360" behindDoc="0" locked="0" layoutInCell="1" allowOverlap="1">
            <wp:simplePos x="0" y="0"/>
            <wp:positionH relativeFrom="column">
              <wp:posOffset>2545080</wp:posOffset>
            </wp:positionH>
            <wp:positionV relativeFrom="paragraph">
              <wp:posOffset>179070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7"/>
                    <a:stretch>
                      <a:fillRect/>
                    </a:stretch>
                  </pic:blipFill>
                  <pic:spPr>
                    <a:xfrm>
                      <a:off x="0" y="0"/>
                      <a:ext cx="544830" cy="24892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4384" behindDoc="1" locked="0" layoutInCell="1" allowOverlap="1">
            <wp:simplePos x="0" y="0"/>
            <wp:positionH relativeFrom="column">
              <wp:posOffset>1575435</wp:posOffset>
            </wp:positionH>
            <wp:positionV relativeFrom="paragraph">
              <wp:posOffset>172085</wp:posOffset>
            </wp:positionV>
            <wp:extent cx="812800" cy="279400"/>
            <wp:effectExtent l="0" t="0" r="10160" b="10160"/>
            <wp:wrapNone/>
            <wp:docPr id="11" name="图片 11" descr="bcda6d730b551c2deb0ef5fcab4ef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bcda6d730b551c2deb0ef5fcab4ef62"/>
                    <pic:cNvPicPr>
                      <a:picLocks noChangeAspect="1"/>
                    </pic:cNvPicPr>
                  </pic:nvPicPr>
                  <pic:blipFill>
                    <a:blip r:embed="rId8"/>
                    <a:stretch>
                      <a:fillRect/>
                    </a:stretch>
                  </pic:blipFill>
                  <pic:spPr>
                    <a:xfrm>
                      <a:off x="0" y="0"/>
                      <a:ext cx="812800" cy="279400"/>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10</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drawing>
          <wp:anchor distT="0" distB="0" distL="114300" distR="114300" simplePos="0" relativeHeight="251665408" behindDoc="0" locked="0" layoutInCell="1" allowOverlap="1">
            <wp:simplePos x="0" y="0"/>
            <wp:positionH relativeFrom="column">
              <wp:posOffset>683895</wp:posOffset>
            </wp:positionH>
            <wp:positionV relativeFrom="paragraph">
              <wp:posOffset>147320</wp:posOffset>
            </wp:positionV>
            <wp:extent cx="371475" cy="341630"/>
            <wp:effectExtent l="0" t="0" r="9525" b="8890"/>
            <wp:wrapNone/>
            <wp:docPr id="4"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24309\Desktop\文平1.jpg"/>
                    <pic:cNvPicPr>
                      <a:picLocks noChangeAspect="1"/>
                    </pic:cNvPicPr>
                  </pic:nvPicPr>
                  <pic:blipFill>
                    <a:blip r:embed="rId6" cstate="print"/>
                    <a:stretch>
                      <a:fillRect/>
                    </a:stretch>
                  </pic:blipFill>
                  <pic:spPr>
                    <a:xfrm>
                      <a:off x="0" y="0"/>
                      <a:ext cx="371475" cy="341630"/>
                    </a:xfrm>
                    <a:prstGeom prst="rect">
                      <a:avLst/>
                    </a:prstGeom>
                    <a:noFill/>
                    <a:ln>
                      <a:noFill/>
                    </a:ln>
                  </pic:spPr>
                </pic:pic>
              </a:graphicData>
            </a:graphic>
          </wp:anchor>
        </w:drawing>
      </w: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6BEE5"/>
    <w:multiLevelType w:val="singleLevel"/>
    <w:tmpl w:val="B966BEE5"/>
    <w:lvl w:ilvl="0" w:tentative="0">
      <w:start w:val="2"/>
      <w:numFmt w:val="decimal"/>
      <w:suff w:val="nothing"/>
      <w:lvlText w:val="%1、"/>
      <w:lvlJc w:val="left"/>
    </w:lvl>
  </w:abstractNum>
  <w:abstractNum w:abstractNumId="1">
    <w:nsid w:val="049D9612"/>
    <w:multiLevelType w:val="singleLevel"/>
    <w:tmpl w:val="049D9612"/>
    <w:lvl w:ilvl="0" w:tentative="0">
      <w:start w:val="8"/>
      <w:numFmt w:val="decimal"/>
      <w:suff w:val="space"/>
      <w:lvlText w:val="%1."/>
      <w:lvlJc w:val="left"/>
    </w:lvl>
  </w:abstractNum>
  <w:abstractNum w:abstractNumId="2">
    <w:nsid w:val="1D7ECAFC"/>
    <w:multiLevelType w:val="singleLevel"/>
    <w:tmpl w:val="1D7ECAFC"/>
    <w:lvl w:ilvl="0" w:tentative="0">
      <w:start w:val="5"/>
      <w:numFmt w:val="decimal"/>
      <w:suff w:val="space"/>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B956B6"/>
    <w:rsid w:val="2A446B16"/>
    <w:rsid w:val="2DBF68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line="251" w:lineRule="exact"/>
      <w:ind w:left="20"/>
    </w:pPr>
    <w:rPr>
      <w:rFonts w:ascii="宋体" w:hAnsi="宋体" w:eastAsia="宋体" w:cs="宋体"/>
      <w:sz w:val="21"/>
      <w:szCs w:val="21"/>
      <w:lang w:val="zh-CN" w:eastAsia="zh-CN" w:bidi="zh-CN"/>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3</TotalTime>
  <ScaleCrop>false</ScaleCrop>
  <LinksUpToDate>false</LinksUpToDate>
  <CharactersWithSpaces>5057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2021-05-10T06:24:35Z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5D3B515987E3415182B54BBD7A2143AE</vt:lpwstr>
  </property>
</Properties>
</file>