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总裁：</w:t>
            </w:r>
            <w:r>
              <w:rPr>
                <w:rFonts w:hint="default"/>
                <w:sz w:val="24"/>
                <w:szCs w:val="24"/>
              </w:rPr>
              <w:t>王楷硕</w:t>
            </w:r>
            <w:r>
              <w:rPr>
                <w:sz w:val="24"/>
                <w:szCs w:val="24"/>
              </w:rPr>
              <w:tab/>
            </w:r>
            <w:r>
              <w:rPr>
                <w:rFonts w:hint="eastAsia"/>
                <w:sz w:val="24"/>
                <w:szCs w:val="24"/>
              </w:rPr>
              <w:t xml:space="preserve">  </w:t>
            </w:r>
            <w:r>
              <w:rPr>
                <w:rFonts w:hint="default"/>
                <w:sz w:val="24"/>
                <w:szCs w:val="24"/>
              </w:rPr>
              <w:t xml:space="preserve">副总裁：柯银清  </w:t>
            </w:r>
            <w:r>
              <w:rPr>
                <w:rFonts w:hint="eastAsia"/>
                <w:sz w:val="24"/>
                <w:szCs w:val="24"/>
              </w:rPr>
              <w:t>管代：王淑范</w:t>
            </w:r>
            <w:r>
              <w:rPr>
                <w:sz w:val="24"/>
                <w:szCs w:val="24"/>
              </w:rPr>
              <w:t xml:space="preserve">  </w:t>
            </w:r>
            <w:r>
              <w:rPr>
                <w:rFonts w:hint="eastAsia"/>
                <w:sz w:val="24"/>
                <w:szCs w:val="24"/>
              </w:rPr>
              <w:t>陪同：王淑范</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 </w:t>
            </w:r>
            <w:r>
              <w:rPr>
                <w:rFonts w:hint="eastAsia"/>
                <w:sz w:val="24"/>
                <w:szCs w:val="24"/>
                <w:lang w:val="en-US" w:eastAsia="zh-CN"/>
              </w:rPr>
              <w:t>张磊</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8</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pStyle w:val="2"/>
              <w:rPr>
                <w:rFonts w:hint="eastAsia" w:ascii="Arial" w:hAnsi="Arial" w:eastAsia="宋体" w:cs="Arial"/>
                <w:bCs w:val="0"/>
                <w:spacing w:val="0"/>
                <w:kern w:val="2"/>
                <w:sz w:val="21"/>
                <w:szCs w:val="22"/>
                <w:lang w:val="en-US" w:eastAsia="zh-CN" w:bidi="ar-SA"/>
              </w:rPr>
            </w:pPr>
            <w:r>
              <w:rPr>
                <w:rFonts w:hint="eastAsia" w:ascii="Arial" w:hAnsi="Arial" w:eastAsia="宋体" w:cs="Arial"/>
                <w:bCs w:val="0"/>
                <w:spacing w:val="0"/>
                <w:kern w:val="2"/>
                <w:sz w:val="21"/>
                <w:szCs w:val="22"/>
                <w:lang w:val="en-US" w:eastAsia="zh-CN" w:bidi="ar-SA"/>
              </w:rPr>
              <w:t>审核条款：</w:t>
            </w:r>
            <w:r>
              <w:rPr>
                <w:rFonts w:hint="eastAsia" w:ascii="Arial" w:hAnsi="Arial" w:cs="Arial"/>
                <w:bCs w:val="0"/>
                <w:spacing w:val="0"/>
                <w:kern w:val="2"/>
                <w:sz w:val="21"/>
                <w:szCs w:val="22"/>
                <w:lang w:val="en-US" w:eastAsia="zh-CN" w:bidi="ar-SA"/>
              </w:rPr>
              <w:t>O</w:t>
            </w:r>
            <w:r>
              <w:rPr>
                <w:rFonts w:hint="eastAsia" w:ascii="Arial" w:hAnsi="Arial" w:eastAsia="宋体" w:cs="Arial"/>
                <w:bCs w:val="0"/>
                <w:spacing w:val="0"/>
                <w:kern w:val="2"/>
                <w:sz w:val="21"/>
                <w:szCs w:val="22"/>
                <w:lang w:val="en-US" w:eastAsia="zh-CN" w:bidi="ar-SA"/>
              </w:rPr>
              <w:t>4.1/4.2/4.3/4.4/5.1/5.2/5.3/</w:t>
            </w:r>
            <w:r>
              <w:rPr>
                <w:rFonts w:hint="eastAsia" w:ascii="Arial" w:hAnsi="Arial" w:cs="Arial"/>
                <w:bCs w:val="0"/>
                <w:spacing w:val="0"/>
                <w:kern w:val="2"/>
                <w:sz w:val="21"/>
                <w:szCs w:val="22"/>
                <w:lang w:val="en-US" w:eastAsia="zh-CN" w:bidi="ar-SA"/>
              </w:rPr>
              <w:t>5.4/</w:t>
            </w:r>
            <w:r>
              <w:rPr>
                <w:rFonts w:hint="eastAsia" w:ascii="Arial" w:hAnsi="Arial" w:eastAsia="宋体" w:cs="Arial"/>
                <w:bCs w:val="0"/>
                <w:spacing w:val="0"/>
                <w:kern w:val="2"/>
                <w:sz w:val="21"/>
                <w:szCs w:val="22"/>
                <w:lang w:val="en-US" w:eastAsia="zh-CN" w:bidi="ar-SA"/>
              </w:rPr>
              <w:t>6.1/</w:t>
            </w:r>
            <w:r>
              <w:rPr>
                <w:rFonts w:hint="eastAsia" w:ascii="Arial" w:hAnsi="Arial" w:cs="Arial"/>
                <w:bCs w:val="0"/>
                <w:spacing w:val="0"/>
                <w:kern w:val="2"/>
                <w:sz w:val="21"/>
                <w:szCs w:val="22"/>
                <w:lang w:val="en-US" w:eastAsia="zh-CN" w:bidi="ar-SA"/>
              </w:rPr>
              <w:t>6.1.4/</w:t>
            </w:r>
            <w:r>
              <w:rPr>
                <w:rFonts w:hint="eastAsia" w:ascii="Arial" w:hAnsi="Arial" w:eastAsia="宋体" w:cs="Arial"/>
                <w:bCs w:val="0"/>
                <w:spacing w:val="0"/>
                <w:kern w:val="2"/>
                <w:sz w:val="21"/>
                <w:szCs w:val="22"/>
                <w:lang w:val="en-US" w:eastAsia="zh-CN" w:bidi="ar-SA"/>
              </w:rPr>
              <w:t>6.2/7.1/9.1/9.3/10.1/10.3</w:t>
            </w:r>
          </w:p>
          <w:p>
            <w:pPr>
              <w:pStyle w:val="2"/>
              <w:rPr>
                <w:rFonts w:ascii="宋体" w:hAnsi="宋体"/>
                <w:sz w:val="18"/>
              </w:rPr>
            </w:pPr>
            <w:r>
              <w:rPr>
                <w:rFonts w:hint="eastAsia" w:ascii="Arial" w:hAnsi="Arial" w:eastAsia="宋体" w:cs="Arial"/>
                <w:bCs w:val="0"/>
                <w:spacing w:val="0"/>
                <w:kern w:val="2"/>
                <w:sz w:val="21"/>
                <w:szCs w:val="22"/>
                <w:lang w:val="en-US" w:eastAsia="zh-CN" w:bidi="ar-SA"/>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tcPr>
          <w:p>
            <w:pPr>
              <w:spacing w:line="280" w:lineRule="exact"/>
              <w:rPr>
                <w:rFonts w:ascii="宋体" w:hAnsi="宋体" w:cs="宋体"/>
                <w:szCs w:val="21"/>
              </w:rPr>
            </w:pPr>
            <w:r>
              <w:rPr>
                <w:rFonts w:hint="eastAsia" w:ascii="宋体" w:hAnsi="宋体" w:cs="宋体"/>
                <w:szCs w:val="21"/>
              </w:rPr>
              <w:t>理解组织及其</w:t>
            </w:r>
            <w:r>
              <w:rPr>
                <w:rFonts w:hint="eastAsia" w:ascii="宋体" w:hAnsi="宋体" w:cs="宋体"/>
                <w:szCs w:val="21"/>
                <w:lang w:val="en-US" w:eastAsia="zh-CN"/>
              </w:rPr>
              <w:t>所处的</w:t>
            </w:r>
            <w:r>
              <w:rPr>
                <w:rFonts w:hint="eastAsia" w:ascii="宋体" w:hAnsi="宋体" w:cs="宋体"/>
                <w:szCs w:val="21"/>
              </w:rPr>
              <w:t>环境</w:t>
            </w:r>
          </w:p>
          <w:p>
            <w:pPr>
              <w:spacing w:line="280" w:lineRule="exact"/>
            </w:pPr>
          </w:p>
        </w:tc>
        <w:tc>
          <w:tcPr>
            <w:tcW w:w="1012" w:type="dxa"/>
          </w:tcPr>
          <w:p>
            <w:pPr>
              <w:spacing w:line="280" w:lineRule="exact"/>
              <w:rPr>
                <w:rFonts w:ascii="宋体" w:hAnsi="宋体" w:cs="宋体"/>
                <w:szCs w:val="21"/>
              </w:rPr>
            </w:pPr>
            <w:r>
              <w:rPr>
                <w:rFonts w:hint="eastAsia" w:ascii="华文中宋" w:hAnsi="华文中宋" w:eastAsia="华文中宋" w:cs="华文中宋"/>
                <w:szCs w:val="21"/>
                <w:lang w:val="en-US" w:eastAsia="zh-CN"/>
              </w:rPr>
              <w:t xml:space="preserve">O </w:t>
            </w:r>
            <w:r>
              <w:rPr>
                <w:rFonts w:hint="eastAsia" w:ascii="宋体" w:hAnsi="宋体" w:cs="宋体"/>
                <w:szCs w:val="21"/>
              </w:rPr>
              <w:t>4.1</w:t>
            </w:r>
          </w:p>
          <w:p>
            <w:pPr>
              <w:spacing w:line="280" w:lineRule="exact"/>
            </w:pPr>
          </w:p>
        </w:tc>
        <w:tc>
          <w:tcPr>
            <w:tcW w:w="10642" w:type="dxa"/>
            <w:vAlign w:val="center"/>
          </w:tcPr>
          <w:p>
            <w:pPr>
              <w:pStyle w:val="2"/>
              <w:rPr>
                <w:rFonts w:hint="eastAsia"/>
                <w:lang w:val="en-US" w:eastAsia="zh-CN"/>
              </w:rPr>
            </w:pPr>
            <w:r>
              <w:rPr>
                <w:rFonts w:hint="eastAsia"/>
                <w:lang w:val="en-US" w:eastAsia="zh-CN"/>
              </w:rPr>
              <w:t xml:space="preserve">威海昊阳集团有限责任公司，注册资本4亿元，创建于2008年，总部位于山东省荣成市崂山南路688号，2018-2020连续三年缴纳税金名列全市前茅。集团自成立以来，一直坚持“想他人 方成己”的昊阳魂理念，通过十几年的努力，发展为专注于政府特许经营模式，专业从事固体废弃物综合处理和应用、清洁能源热电联供的新型环保循环经济类集团公司（详见股权证明）。在昊阳魂理念的指引下，全体昊阳人努力恪守企业的社会责任，矢志打造“蓝天”基业，立志为“绿色温暖”做出自己的贡献。 </w:t>
            </w:r>
          </w:p>
          <w:p>
            <w:pPr>
              <w:rPr>
                <w:rFonts w:hint="eastAsia"/>
                <w:lang w:val="en-US" w:eastAsia="zh-CN"/>
              </w:rPr>
            </w:pPr>
            <w:r>
              <w:rPr>
                <w:rFonts w:hint="eastAsia"/>
                <w:lang w:val="en-US" w:eastAsia="zh-CN"/>
              </w:rPr>
              <w:t> 垃圾焚烧发电项目在《497座垃圾焚烧厂2020年一氧化碳减排控制能力排行》和《497座垃圾焚烧厂2020年烟气减排控制能力排行》中，成为全国50佳（分别位列39位、31位），也是县级市50佳企业之一。</w:t>
            </w:r>
          </w:p>
          <w:p>
            <w:pPr>
              <w:rPr>
                <w:rFonts w:hint="eastAsia"/>
                <w:lang w:val="en-US" w:eastAsia="zh-CN"/>
              </w:rPr>
            </w:pPr>
            <w:r>
              <w:rPr>
                <w:rFonts w:hint="eastAsia"/>
                <w:lang w:val="en-US" w:eastAsia="zh-CN"/>
              </w:rPr>
              <w:t>管理手册，实施、发布日期：2020年10月11日。</w:t>
            </w:r>
          </w:p>
          <w:p>
            <w:pPr>
              <w:rPr>
                <w:rFonts w:hint="eastAsia"/>
              </w:rPr>
            </w:pPr>
            <w:r>
              <w:rPr>
                <w:rFonts w:hint="eastAsia"/>
              </w:rPr>
              <w:t>确认认证范围</w:t>
            </w:r>
            <w:bookmarkStart w:id="0" w:name="审核范围"/>
            <w:r>
              <w:t>O：能源科技、节能环保科技领域内的技术开发所涉及场所的相关职业健康安全管理活动</w:t>
            </w:r>
          </w:p>
          <w:bookmarkEnd w:id="0"/>
          <w:p>
            <w:pPr>
              <w:autoSpaceDE w:val="0"/>
              <w:autoSpaceDN w:val="0"/>
              <w:adjustRightInd w:val="0"/>
              <w:spacing w:line="360" w:lineRule="auto"/>
              <w:ind w:firstLine="480"/>
            </w:pPr>
            <w:r>
              <w:rPr>
                <w:rFonts w:hint="eastAsia"/>
              </w:rPr>
              <w:t>公司建立和保持《组织环境与相关方要求管理程序》，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hint="eastAsia"/>
              </w:rPr>
            </w:pPr>
            <w:r>
              <w:rPr>
                <w:rFonts w:hint="eastAsia"/>
              </w:rPr>
              <w:t>本公司定期对这些内部和外部因素的相关信息进行监视和评审，以确保其充分和适宜。</w:t>
            </w:r>
            <w:r>
              <w:rPr>
                <w:rFonts w:hint="default"/>
              </w:rPr>
              <w:t>总裁</w:t>
            </w:r>
            <w:r>
              <w:rPr>
                <w:rFonts w:hint="eastAsia"/>
              </w:rPr>
              <w:t>及公司的管理层对以上方面的相关信息进行监视和评审，以便适时做出调整，使之更加适用于公司的实际情况。</w:t>
            </w:r>
          </w:p>
          <w:p>
            <w:pPr>
              <w:pStyle w:val="2"/>
              <w:rPr>
                <w:rFonts w:hint="default"/>
              </w:rPr>
            </w:pPr>
            <w:r>
              <w:rPr>
                <w:rFonts w:hint="default" w:ascii="宋体" w:hAnsi="宋体" w:cs="宋体"/>
                <w:szCs w:val="21"/>
              </w:rPr>
              <w:t>查提供</w:t>
            </w:r>
            <w:r>
              <w:rPr>
                <w:rFonts w:hint="eastAsia"/>
                <w:lang w:val="en-US" w:eastAsia="zh-CN"/>
              </w:rPr>
              <w:t>威海昊阳集团有限责任公司</w:t>
            </w:r>
            <w:r>
              <w:rPr>
                <w:rFonts w:hint="default" w:ascii="宋体" w:hAnsi="宋体" w:cs="宋体"/>
                <w:szCs w:val="21"/>
              </w:rPr>
              <w:t>《战略环境SWOT分析矩阵》，有优势、劣势、机会、威胁分析及相关策略，编制：丛萍萍，核准：柯银清，2020.10.11。</w:t>
            </w: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trPr>
        <w:tc>
          <w:tcPr>
            <w:tcW w:w="2160" w:type="dxa"/>
          </w:tcPr>
          <w:p>
            <w:pPr>
              <w:spacing w:line="280" w:lineRule="exact"/>
              <w:rPr>
                <w:rFonts w:ascii="宋体" w:hAnsi="宋体" w:cs="宋体"/>
                <w:szCs w:val="21"/>
              </w:rPr>
            </w:pPr>
            <w:r>
              <w:rPr>
                <w:rFonts w:hint="eastAsia" w:ascii="宋体" w:hAnsi="宋体" w:cs="宋体"/>
                <w:szCs w:val="21"/>
              </w:rPr>
              <w:t>理解</w:t>
            </w:r>
            <w:r>
              <w:rPr>
                <w:rFonts w:hint="eastAsia" w:ascii="宋体" w:hAnsi="宋体" w:cs="宋体"/>
                <w:szCs w:val="21"/>
                <w:lang w:val="en-US" w:eastAsia="zh-CN"/>
              </w:rPr>
              <w:t>工作人员和其他</w:t>
            </w:r>
            <w:r>
              <w:rPr>
                <w:rFonts w:hint="eastAsia" w:ascii="宋体" w:hAnsi="宋体" w:cs="宋体"/>
                <w:szCs w:val="21"/>
              </w:rPr>
              <w:t>相关方的需求和期望</w:t>
            </w:r>
          </w:p>
          <w:p>
            <w:pPr>
              <w:spacing w:line="280" w:lineRule="exact"/>
            </w:pPr>
          </w:p>
        </w:tc>
        <w:tc>
          <w:tcPr>
            <w:tcW w:w="1012" w:type="dxa"/>
          </w:tcPr>
          <w:p>
            <w:pPr>
              <w:spacing w:line="280" w:lineRule="exact"/>
              <w:rPr>
                <w:rFonts w:ascii="宋体" w:hAnsi="宋体" w:cs="宋体"/>
                <w:szCs w:val="21"/>
              </w:rPr>
            </w:pPr>
            <w:r>
              <w:rPr>
                <w:rFonts w:hint="eastAsia" w:ascii="华文中宋" w:hAnsi="华文中宋" w:eastAsia="华文中宋" w:cs="华文中宋"/>
                <w:szCs w:val="21"/>
                <w:lang w:val="en-US" w:eastAsia="zh-CN"/>
              </w:rPr>
              <w:t xml:space="preserve">O </w:t>
            </w:r>
            <w:r>
              <w:rPr>
                <w:rFonts w:hint="eastAsia" w:ascii="宋体" w:hAnsi="宋体" w:cs="宋体"/>
                <w:szCs w:val="21"/>
              </w:rPr>
              <w:t>4.2</w:t>
            </w:r>
          </w:p>
          <w:p>
            <w:pPr>
              <w:spacing w:line="280" w:lineRule="exact"/>
            </w:pPr>
          </w:p>
        </w:tc>
        <w:tc>
          <w:tcPr>
            <w:tcW w:w="10642" w:type="dxa"/>
            <w:vAlign w:val="center"/>
          </w:tcPr>
          <w:p>
            <w:pPr>
              <w:autoSpaceDE w:val="0"/>
              <w:autoSpaceDN w:val="0"/>
              <w:adjustRightInd w:val="0"/>
              <w:spacing w:line="360" w:lineRule="auto"/>
            </w:pPr>
            <w:r>
              <w:rPr>
                <w:rFonts w:hint="eastAsia"/>
              </w:rPr>
              <w:t>总</w:t>
            </w:r>
            <w:r>
              <w:rPr>
                <w:rFonts w:hint="eastAsia"/>
                <w:lang w:val="en-US" w:eastAsia="zh-CN"/>
              </w:rPr>
              <w:t>裁</w:t>
            </w:r>
            <w:r>
              <w:rPr>
                <w:rFonts w:hint="eastAsia"/>
              </w:rPr>
              <w:t>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w:t>
            </w:r>
            <w:r>
              <w:rPr>
                <w:rFonts w:hint="eastAsia" w:ascii="宋体" w:hAnsi="宋体" w:cs="宋体"/>
                <w:szCs w:val="21"/>
                <w:lang w:eastAsia="zh-CN"/>
              </w:rPr>
              <w:t>（</w:t>
            </w:r>
            <w:r>
              <w:rPr>
                <w:rFonts w:hint="default" w:ascii="宋体" w:hAnsi="宋体" w:cs="宋体"/>
                <w:szCs w:val="21"/>
              </w:rPr>
              <w:t>HY-QES-CX-22</w:t>
            </w:r>
            <w:r>
              <w:rPr>
                <w:rFonts w:hint="eastAsia" w:ascii="宋体" w:hAnsi="宋体" w:cs="宋体"/>
                <w:szCs w:val="21"/>
                <w:lang w:eastAsia="zh-CN"/>
              </w:rPr>
              <w:t>）</w:t>
            </w:r>
            <w:r>
              <w:rPr>
                <w:rFonts w:hint="eastAsia"/>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pPr>
            <w:bookmarkStart w:id="1" w:name="_Toc475020125"/>
            <w:bookmarkStart w:id="2" w:name="_Toc475019994"/>
            <w:r>
              <w:rPr>
                <w:rFonts w:hint="eastAsia"/>
              </w:rPr>
              <w:t>与质量/环境/职业健康安全管理体系有关的相关方</w:t>
            </w:r>
            <w:bookmarkEnd w:id="1"/>
            <w:bookmarkEnd w:id="2"/>
            <w:r>
              <w:rPr>
                <w:rFonts w:hint="eastAsia"/>
              </w:rPr>
              <w:t>；</w:t>
            </w:r>
          </w:p>
          <w:p>
            <w:pPr>
              <w:autoSpaceDE w:val="0"/>
              <w:autoSpaceDN w:val="0"/>
              <w:adjustRightInd w:val="0"/>
              <w:spacing w:line="360" w:lineRule="auto"/>
            </w:pPr>
            <w:r>
              <w:rPr>
                <w:rFonts w:hint="eastAsia"/>
              </w:rPr>
              <w:t>公司的相关方包括：顾客、员工、银行、外部供应商、雇员及其他为组织工作者、法律法规及监管机关、非政府组织等。</w:t>
            </w:r>
          </w:p>
          <w:p>
            <w:pPr>
              <w:autoSpaceDE w:val="0"/>
              <w:autoSpaceDN w:val="0"/>
              <w:adjustRightInd w:val="0"/>
              <w:spacing w:line="360" w:lineRule="auto"/>
              <w:rPr>
                <w:rFonts w:hint="eastAsia"/>
              </w:rPr>
            </w:pPr>
            <w:r>
              <w:rPr>
                <w:rFonts w:hint="eastAsia"/>
              </w:rPr>
              <w:t>公司对这些相关方及其要求的相关信息进行监视和评审，理解和持续满足相关方的需求和期望。</w:t>
            </w:r>
          </w:p>
          <w:p>
            <w:pPr>
              <w:pStyle w:val="2"/>
              <w:rPr>
                <w:rFonts w:hint="eastAsia" w:eastAsia="宋体"/>
                <w:lang w:eastAsia="zh-CN"/>
              </w:rPr>
            </w:pPr>
            <w:r>
              <w:rPr>
                <w:rFonts w:hint="default" w:ascii="宋体" w:hAnsi="宋体" w:cs="宋体"/>
                <w:szCs w:val="21"/>
              </w:rPr>
              <w:t>查提供《相关单位的需求和期望》，识别有客户、供方、</w:t>
            </w:r>
            <w:r>
              <w:rPr>
                <w:rFonts w:hint="eastAsia" w:ascii="宋体" w:hAnsi="宋体" w:cs="宋体"/>
                <w:szCs w:val="21"/>
                <w:lang w:val="en-US" w:eastAsia="zh-CN"/>
              </w:rPr>
              <w:t>工作人员</w:t>
            </w:r>
            <w:r>
              <w:rPr>
                <w:rFonts w:hint="default" w:ascii="宋体" w:hAnsi="宋体" w:cs="宋体"/>
                <w:szCs w:val="21"/>
              </w:rPr>
              <w:t>、政府部门等相关方需求和期望；提供《相关方告知书》</w:t>
            </w:r>
            <w:r>
              <w:rPr>
                <w:rFonts w:hint="eastAsia" w:ascii="宋体" w:hAnsi="宋体" w:cs="宋体"/>
                <w:szCs w:val="21"/>
                <w:lang w:eastAsia="zh-CN"/>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4.3</w:t>
            </w:r>
          </w:p>
          <w:p>
            <w:pPr>
              <w:spacing w:line="280" w:lineRule="exact"/>
            </w:pPr>
          </w:p>
        </w:tc>
        <w:tc>
          <w:tcPr>
            <w:tcW w:w="10642" w:type="dxa"/>
            <w:vAlign w:val="center"/>
          </w:tcPr>
          <w:p>
            <w:pPr>
              <w:autoSpaceDE w:val="0"/>
              <w:autoSpaceDN w:val="0"/>
              <w:adjustRightInd w:val="0"/>
              <w:spacing w:line="360" w:lineRule="auto"/>
              <w:rPr>
                <w:rFonts w:hint="eastAsia"/>
              </w:rPr>
            </w:pPr>
            <w:r>
              <w:rPr>
                <w:rFonts w:hint="eastAsia"/>
              </w:rPr>
              <w:t>公司管理体系范围为：O：能源科技、节能环保科技领域内的技术开发所涉及场所的相关职业健康安全管理活动</w:t>
            </w:r>
          </w:p>
          <w:p>
            <w:pPr>
              <w:autoSpaceDE w:val="0"/>
              <w:autoSpaceDN w:val="0"/>
              <w:adjustRightInd w:val="0"/>
              <w:spacing w:line="360" w:lineRule="auto"/>
              <w:rPr>
                <w:rFonts w:hint="eastAsia"/>
              </w:rPr>
            </w:pPr>
            <w:r>
              <w:rPr>
                <w:rFonts w:hint="eastAsia"/>
              </w:rPr>
              <w:t>不适用</w:t>
            </w:r>
            <w:r>
              <w:rPr>
                <w:rFonts w:hint="default"/>
              </w:rPr>
              <w:t>说明</w:t>
            </w:r>
            <w:r>
              <w:rPr>
                <w:rFonts w:hint="eastAsia"/>
              </w:rPr>
              <w:t>：公司采用GB/T</w:t>
            </w:r>
            <w:r>
              <w:rPr>
                <w:rFonts w:hint="eastAsia"/>
                <w:lang w:val="en-US" w:eastAsia="zh-CN"/>
              </w:rPr>
              <w:t>45</w:t>
            </w:r>
            <w:r>
              <w:rPr>
                <w:rFonts w:hint="eastAsia"/>
              </w:rPr>
              <w:t>001-20</w:t>
            </w:r>
            <w:r>
              <w:rPr>
                <w:rFonts w:hint="eastAsia"/>
                <w:lang w:val="en-US" w:eastAsia="zh-CN"/>
              </w:rPr>
              <w:t>20</w:t>
            </w:r>
            <w:bookmarkStart w:id="4" w:name="_GoBack"/>
            <w:bookmarkEnd w:id="4"/>
            <w:r>
              <w:rPr>
                <w:rFonts w:hint="eastAsia"/>
              </w:rPr>
              <w:t xml:space="preserve"> IDT ISO45001:2018标准的所有条款，均全部适宜</w:t>
            </w:r>
            <w:r>
              <w:rPr>
                <w:rFonts w:hint="default"/>
              </w:rPr>
              <w:t>，无不适用条款</w:t>
            </w:r>
            <w:r>
              <w:rPr>
                <w:rFonts w:hint="eastAsia"/>
              </w:rPr>
              <w:t>。</w:t>
            </w:r>
          </w:p>
          <w:p>
            <w:pPr>
              <w:pStyle w:val="2"/>
            </w:pPr>
            <w:r>
              <w:rPr>
                <w:rFonts w:hint="eastAsia"/>
                <w:sz w:val="20"/>
                <w:lang w:val="en-US" w:eastAsia="zh-CN"/>
              </w:rPr>
              <w:t>企业提供股权证明材料，其中荣成市固废综合处理与应用产业园有限公司为</w:t>
            </w:r>
            <w:bookmarkStart w:id="3" w:name="组织名称"/>
            <w:r>
              <w:rPr>
                <w:sz w:val="21"/>
                <w:szCs w:val="21"/>
              </w:rPr>
              <w:t>威海昊阳集团有限责任公司</w:t>
            </w:r>
            <w:bookmarkEnd w:id="3"/>
            <w:r>
              <w:rPr>
                <w:rFonts w:hint="eastAsia"/>
                <w:sz w:val="21"/>
                <w:szCs w:val="21"/>
                <w:lang w:val="en-US" w:eastAsia="zh-CN"/>
              </w:rPr>
              <w:t>的子公司之一，企业设计研发的产品用于子公司的设备改进</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spacing w:line="280" w:lineRule="exact"/>
              <w:rPr>
                <w:rFonts w:hint="default" w:eastAsia="宋体"/>
                <w:lang w:val="en-US" w:eastAsia="zh-CN"/>
              </w:rPr>
            </w:pPr>
            <w:r>
              <w:rPr>
                <w:rFonts w:hint="eastAsia" w:ascii="宋体" w:hAnsi="宋体" w:cs="宋体"/>
                <w:szCs w:val="21"/>
                <w:lang w:val="en-US" w:eastAsia="zh-CN"/>
              </w:rPr>
              <w:t>职业健康安全管理体系</w:t>
            </w: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4.4</w:t>
            </w:r>
          </w:p>
          <w:p>
            <w:pPr>
              <w:spacing w:line="280" w:lineRule="exact"/>
            </w:pPr>
          </w:p>
        </w:tc>
        <w:tc>
          <w:tcPr>
            <w:tcW w:w="10642" w:type="dxa"/>
            <w:vAlign w:val="center"/>
          </w:tcPr>
          <w:p>
            <w:pPr>
              <w:spacing w:line="360" w:lineRule="auto"/>
              <w:ind w:firstLine="420" w:firstLineChars="200"/>
            </w:pPr>
            <w:r>
              <w:rPr>
                <w:rFonts w:hint="eastAsia" w:ascii="宋体" w:hAnsi="宋体" w:cs="宋体"/>
                <w:szCs w:val="21"/>
              </w:rPr>
              <w:t>该公司</w:t>
            </w:r>
            <w:r>
              <w:rPr>
                <w:rFonts w:hint="eastAsia" w:ascii="Arial" w:hAnsi="Arial" w:eastAsia="宋体" w:cs="Arial"/>
                <w:bCs w:val="0"/>
                <w:spacing w:val="0"/>
                <w:kern w:val="2"/>
                <w:sz w:val="21"/>
                <w:szCs w:val="22"/>
                <w:lang w:val="en-US" w:eastAsia="zh-CN" w:bidi="ar-SA"/>
              </w:rPr>
              <w:t>2020年10月11日</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与负责人交流：部门确定了满足与管理体系有关的客户及相关方的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pPr>
            <w:r>
              <w:rPr>
                <w:rFonts w:hint="eastAsia" w:ascii="宋体" w:hAnsi="宋体" w:cs="宋体"/>
                <w:szCs w:val="21"/>
              </w:rPr>
              <w:t>领导作用与承诺</w:t>
            </w: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5.1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eastAsia="宋体" w:cs="宋体"/>
                <w:szCs w:val="21"/>
              </w:rPr>
              <w:t>公司总裁王楷硕介</w:t>
            </w:r>
            <w:r>
              <w:rPr>
                <w:rFonts w:hint="eastAsia" w:ascii="宋体" w:hAnsi="宋体" w:cs="宋体"/>
                <w:szCs w:val="21"/>
              </w:rPr>
              <w:t>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default" w:eastAsia="宋体"/>
                <w:lang w:val="en-US" w:eastAsia="zh-CN"/>
              </w:rPr>
            </w:pPr>
            <w:r>
              <w:rPr>
                <w:rFonts w:hint="eastAsia"/>
                <w:lang w:val="en-US" w:eastAsia="zh-CN"/>
              </w:rPr>
              <w:t>职业健康安全方针</w:t>
            </w:r>
          </w:p>
        </w:tc>
        <w:tc>
          <w:tcPr>
            <w:tcW w:w="1012" w:type="dxa"/>
          </w:tcPr>
          <w:p>
            <w:pPr>
              <w:spacing w:line="280" w:lineRule="exac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该公司职业健康安全方针</w:t>
            </w:r>
            <w:r>
              <w:rPr>
                <w:rFonts w:hint="eastAsia" w:ascii="宋体" w:hAnsi="宋体" w:cs="宋体"/>
                <w:szCs w:val="21"/>
                <w:lang w:val="en-US" w:eastAsia="zh-CN"/>
              </w:rPr>
              <w:t>:</w:t>
            </w:r>
            <w:r>
              <w:rPr>
                <w:rFonts w:hint="eastAsia" w:ascii="宋体" w:hAnsi="宋体" w:cs="宋体"/>
                <w:szCs w:val="21"/>
              </w:rPr>
              <w:t>关爱生命，关注安全，遵规守法，降低风险。</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w:t>
            </w:r>
            <w:r>
              <w:rPr>
                <w:rFonts w:hint="eastAsia" w:ascii="宋体" w:hAnsi="宋体" w:cs="宋体"/>
                <w:szCs w:val="21"/>
                <w:lang w:eastAsia="zh-CN"/>
              </w:rPr>
              <w:t>总裁</w:t>
            </w:r>
            <w:r>
              <w:rPr>
                <w:rFonts w:hint="eastAsia" w:ascii="宋体" w:hAnsi="宋体" w:cs="宋体"/>
                <w:szCs w:val="21"/>
              </w:rPr>
              <w:t>进行交谈，对方针内涵的理解较深刻。方针能为制定目标提供框架，方针基本符合标准的要求。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lang w:eastAsia="zh-CN"/>
              </w:rPr>
              <w:t>总裁</w:t>
            </w:r>
            <w:r>
              <w:rPr>
                <w:rFonts w:hint="eastAsia" w:ascii="宋体" w:hAnsi="宋体" w:cs="宋体"/>
                <w:szCs w:val="21"/>
              </w:rPr>
              <w:t>用会议、文件等手段保证管理方针为全体员工理解并落实到工作中。</w:t>
            </w:r>
            <w:r>
              <w:rPr>
                <w:rFonts w:hint="eastAsia" w:ascii="宋体" w:hAnsi="宋体" w:cs="宋体"/>
                <w:szCs w:val="21"/>
                <w:lang w:eastAsia="zh-CN"/>
              </w:rPr>
              <w:t>总裁</w:t>
            </w:r>
            <w:r>
              <w:rPr>
                <w:rFonts w:hint="eastAsia" w:ascii="宋体" w:hAnsi="宋体" w:cs="宋体"/>
                <w:szCs w:val="21"/>
              </w:rPr>
              <w:t>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w:t>
            </w:r>
            <w:r>
              <w:rPr>
                <w:rFonts w:hint="eastAsia" w:ascii="宋体" w:hAnsi="宋体" w:cs="宋体"/>
                <w:szCs w:val="21"/>
                <w:lang w:val="en-US" w:eastAsia="zh-CN"/>
              </w:rPr>
              <w:t>角色</w:t>
            </w:r>
            <w:r>
              <w:rPr>
                <w:rFonts w:hint="eastAsia" w:ascii="宋体" w:hAnsi="宋体" w:cs="宋体"/>
                <w:szCs w:val="21"/>
              </w:rPr>
              <w:t>、职责和权限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hint="eastAsia" w:ascii="宋体" w:cs="宋体"/>
                <w:szCs w:val="21"/>
                <w:lang w:val="en-US" w:eastAsia="zh-CN"/>
              </w:rPr>
              <w:t>O</w:t>
            </w:r>
            <w:r>
              <w:rPr>
                <w:rFonts w:ascii="宋体" w:cs="宋体"/>
                <w:szCs w:val="21"/>
              </w:rPr>
              <w:t>5.3</w:t>
            </w:r>
          </w:p>
          <w:p>
            <w:pPr>
              <w:spacing w:line="280" w:lineRule="exact"/>
            </w:pPr>
          </w:p>
        </w:tc>
        <w:tc>
          <w:tcPr>
            <w:tcW w:w="10642" w:type="dxa"/>
            <w:vAlign w:val="center"/>
          </w:tcPr>
          <w:p>
            <w:pPr>
              <w:spacing w:line="280" w:lineRule="exact"/>
              <w:rPr>
                <w:rFonts w:hint="eastAsia"/>
              </w:rPr>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w:t>
            </w:r>
          </w:p>
          <w:p>
            <w:pPr>
              <w:spacing w:line="280" w:lineRule="exact"/>
            </w:pPr>
            <w:r>
              <w:rPr>
                <w:rFonts w:hint="eastAsia"/>
              </w:rPr>
              <w:t>建立、实施和保持公司管理体系所需的过程，公司任命王淑范为管理体系的管理者代表。其职责和权限规定如下：</w:t>
            </w:r>
          </w:p>
          <w:p>
            <w:pPr>
              <w:numPr>
                <w:ilvl w:val="0"/>
                <w:numId w:val="1"/>
              </w:numPr>
              <w:spacing w:line="280" w:lineRule="exact"/>
              <w:ind w:firstLine="420" w:firstLineChars="200"/>
              <w:rPr>
                <w:rFonts w:hint="eastAsia"/>
              </w:rPr>
            </w:pPr>
            <w:r>
              <w:rPr>
                <w:rFonts w:hint="eastAsia"/>
              </w:rPr>
              <w:t>确保质量/环境和职业健康安全管理体系的建立、实施和保持；</w:t>
            </w:r>
          </w:p>
          <w:p>
            <w:pPr>
              <w:numPr>
                <w:ilvl w:val="0"/>
                <w:numId w:val="1"/>
              </w:numPr>
              <w:spacing w:line="280" w:lineRule="exact"/>
              <w:ind w:firstLine="420" w:firstLineChars="200"/>
              <w:rPr>
                <w:rFonts w:hint="eastAsia"/>
              </w:rPr>
            </w:pPr>
            <w:r>
              <w:rPr>
                <w:rFonts w:hint="eastAsia"/>
              </w:rPr>
              <w:t>向副总裁报告质量/环境和职业健康安全管理体系的业绩和任何改进的需求；</w:t>
            </w:r>
          </w:p>
          <w:p>
            <w:pPr>
              <w:numPr>
                <w:ilvl w:val="0"/>
                <w:numId w:val="1"/>
              </w:numPr>
              <w:spacing w:line="280" w:lineRule="exact"/>
              <w:ind w:firstLine="420" w:firstLineChars="200"/>
              <w:rPr>
                <w:rFonts w:hint="eastAsia"/>
              </w:rPr>
            </w:pPr>
            <w:r>
              <w:rPr>
                <w:rFonts w:hint="eastAsia"/>
              </w:rPr>
              <w:t>采取适当措施，在整个组织内提高顾客要求的意识得到有效落实；</w:t>
            </w:r>
          </w:p>
          <w:p>
            <w:pPr>
              <w:numPr>
                <w:ilvl w:val="0"/>
                <w:numId w:val="1"/>
              </w:numPr>
              <w:spacing w:line="280" w:lineRule="exact"/>
              <w:ind w:firstLine="420" w:firstLineChars="200"/>
              <w:rPr>
                <w:rFonts w:hint="eastAsia"/>
              </w:rPr>
            </w:pPr>
            <w:r>
              <w:rPr>
                <w:rFonts w:hint="eastAsia"/>
              </w:rPr>
              <w:t>负责质量/环境和职业健康安全管理体系的有关事宜与外部联络，协调内部体系的一切问题；</w:t>
            </w:r>
          </w:p>
          <w:p>
            <w:pPr>
              <w:numPr>
                <w:ilvl w:val="0"/>
                <w:numId w:val="1"/>
              </w:numPr>
              <w:spacing w:line="280" w:lineRule="exact"/>
              <w:ind w:firstLine="420" w:firstLineChars="200"/>
              <w:rPr>
                <w:rFonts w:hint="eastAsia"/>
              </w:rPr>
            </w:pPr>
            <w:r>
              <w:rPr>
                <w:rFonts w:hint="eastAsia"/>
              </w:rPr>
              <w:t>确保管理体系相互协调、完整。</w:t>
            </w:r>
          </w:p>
          <w:p>
            <w:pPr>
              <w:spacing w:line="280" w:lineRule="exact"/>
              <w:ind w:firstLine="420" w:firstLineChars="200"/>
              <w:rPr>
                <w:bCs w:val="0"/>
                <w:spacing w:val="0"/>
              </w:rPr>
            </w:pPr>
            <w:r>
              <w:rPr>
                <w:rFonts w:hint="eastAsia"/>
              </w:rPr>
              <w:t>询问管代王淑范职责回答正确。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工作人员的协商和参与</w:t>
            </w:r>
          </w:p>
        </w:tc>
        <w:tc>
          <w:tcPr>
            <w:tcW w:w="1012" w:type="dxa"/>
            <w:vAlign w:val="top"/>
          </w:tcPr>
          <w:p>
            <w:pPr>
              <w:spacing w:line="280" w:lineRule="exact"/>
              <w:rPr>
                <w:rFonts w:hint="eastAsia" w:ascii="宋体" w:eastAsia="宋体" w:cs="宋体"/>
                <w:szCs w:val="21"/>
                <w:lang w:val="en-US" w:eastAsia="zh-CN"/>
              </w:rPr>
            </w:pPr>
            <w:r>
              <w:rPr>
                <w:rFonts w:hint="eastAsia" w:ascii="宋体" w:cs="宋体"/>
                <w:szCs w:val="21"/>
                <w:lang w:val="en-US" w:eastAsia="zh-CN"/>
              </w:rPr>
              <w:t>O</w:t>
            </w:r>
            <w:r>
              <w:rPr>
                <w:rFonts w:ascii="宋体" w:cs="宋体"/>
                <w:szCs w:val="21"/>
              </w:rPr>
              <w:t>5.</w:t>
            </w:r>
            <w:r>
              <w:rPr>
                <w:rFonts w:hint="eastAsia" w:ascii="宋体" w:cs="宋体"/>
                <w:szCs w:val="21"/>
                <w:lang w:val="en-US" w:eastAsia="zh-CN"/>
              </w:rPr>
              <w:t>4</w:t>
            </w:r>
          </w:p>
          <w:p>
            <w:pPr>
              <w:spacing w:line="280" w:lineRule="exact"/>
              <w:rPr>
                <w:rFonts w:ascii="Times New Roman" w:hAnsi="Times New Roman" w:eastAsia="宋体" w:cs="Times New Roman"/>
                <w:kern w:val="2"/>
                <w:sz w:val="21"/>
                <w:lang w:val="en-US" w:eastAsia="zh-CN" w:bidi="ar-SA"/>
              </w:rPr>
            </w:pPr>
          </w:p>
        </w:tc>
        <w:tc>
          <w:tcPr>
            <w:tcW w:w="10642" w:type="dxa"/>
            <w:vAlign w:val="center"/>
          </w:tcPr>
          <w:p>
            <w:pPr>
              <w:spacing w:line="280" w:lineRule="exact"/>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公司任命丛萍萍 为我公司的员工代表；代表员工的利益，其职责是：</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代表员工就工时、工资、人权、福利、工作环境、健康安全等员工所关心的问题与管理层进行交涉。</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定期参加与管理层的沟通会议，提报员工所关心的问题和公司工厂规范的实施情况，协助员工申诉及调查处理的取证工作。 </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监督员工投诉及处理的公正性。</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不定期收集员工所关心的问题或意见回馈给管理代表，并监督处理的公正性。</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有权享受与其它员工相同的待遇。 </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有权在不受任何歧视或打击报复的情况下独立开展职权范围内的工作</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代表全体员工参与管理方针和目标的制定和评审；</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代表全体员工参与参与实施危险源辨识、风险评价和风险控制过程和程序而进行风险管理的决策；</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代表全体员工参与影响工作场所职业健康安全的改变的协商；</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代表全体员工参与事故和事件调查及现场职业健康安全检查；</w:t>
            </w:r>
          </w:p>
          <w:p>
            <w:pPr>
              <w:numPr>
                <w:ilvl w:val="0"/>
                <w:numId w:val="2"/>
              </w:numPr>
              <w:spacing w:line="280" w:lineRule="exact"/>
              <w:ind w:left="420" w:leftChars="0"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负责收集员工在职业健康安全方面的信息并代表员工向公司领导层反馈。</w:t>
            </w:r>
          </w:p>
          <w:p>
            <w:pPr>
              <w:spacing w:line="280" w:lineRule="exact"/>
              <w:ind w:firstLine="420" w:firstLineChars="200"/>
              <w:rPr>
                <w:rFonts w:hint="eastAsia" w:ascii="Times New Roman" w:hAnsi="Times New Roman" w:eastAsia="宋体" w:cs="Times New Roman"/>
                <w:bCs w:val="0"/>
                <w:spacing w:val="0"/>
                <w:kern w:val="2"/>
                <w:sz w:val="21"/>
                <w:lang w:val="en-US" w:eastAsia="zh-CN" w:bidi="ar-SA"/>
              </w:rPr>
            </w:pPr>
            <w:r>
              <w:rPr>
                <w:rFonts w:hint="eastAsia"/>
              </w:rPr>
              <w:t>询问</w:t>
            </w:r>
            <w:r>
              <w:rPr>
                <w:rFonts w:hint="eastAsia" w:ascii="Times New Roman" w:hAnsi="Times New Roman" w:eastAsia="宋体" w:cs="Times New Roman"/>
                <w:szCs w:val="22"/>
              </w:rPr>
              <w:t>员工代表丛萍萍</w:t>
            </w:r>
            <w:r>
              <w:rPr>
                <w:rFonts w:hint="eastAsia"/>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pPr>
            <w:r>
              <w:rPr>
                <w:rFonts w:hint="eastAsia"/>
              </w:rPr>
              <w:t>应对风险和机遇的措施</w:t>
            </w:r>
          </w:p>
          <w:p>
            <w:pPr>
              <w:spacing w:line="280" w:lineRule="exact"/>
            </w:pPr>
          </w:p>
          <w:p>
            <w:pPr>
              <w:pStyle w:val="2"/>
            </w:pPr>
            <w:r>
              <w:rPr>
                <w:rFonts w:hint="eastAsia"/>
              </w:rPr>
              <w:t>危险源的识别和评价</w:t>
            </w:r>
          </w:p>
        </w:tc>
        <w:tc>
          <w:tcPr>
            <w:tcW w:w="1012" w:type="dxa"/>
          </w:tcPr>
          <w:p>
            <w:pPr>
              <w:spacing w:line="280" w:lineRule="exact"/>
              <w:rPr>
                <w:rFonts w:hint="eastAsia"/>
              </w:rPr>
            </w:pPr>
            <w:r>
              <w:rPr>
                <w:rFonts w:hint="eastAsia"/>
                <w:lang w:val="en-US" w:eastAsia="zh-CN"/>
              </w:rPr>
              <w:t>O</w:t>
            </w:r>
            <w:r>
              <w:rPr>
                <w:rFonts w:hint="eastAsia"/>
              </w:rPr>
              <w:t>6.1</w:t>
            </w:r>
          </w:p>
          <w:p>
            <w:pPr>
              <w:pStyle w:val="2"/>
              <w:rPr>
                <w:rFonts w:hint="eastAsia" w:ascii="宋体" w:hAnsi="宋体" w:cs="宋体"/>
                <w:szCs w:val="21"/>
                <w:lang w:val="en-US" w:eastAsia="zh-CN"/>
              </w:rPr>
            </w:pPr>
            <w:r>
              <w:rPr>
                <w:rFonts w:hint="eastAsia" w:ascii="宋体" w:hAnsi="宋体" w:cs="宋体"/>
                <w:szCs w:val="21"/>
                <w:lang w:val="en-US" w:eastAsia="zh-CN"/>
              </w:rPr>
              <w:t>6.1.1</w:t>
            </w:r>
          </w:p>
          <w:p>
            <w:pPr>
              <w:pStyle w:val="2"/>
              <w:rPr>
                <w:rFonts w:hint="default" w:ascii="宋体" w:hAnsi="宋体" w:cs="宋体"/>
                <w:szCs w:val="21"/>
                <w:lang w:val="en-US" w:eastAsia="zh-CN"/>
              </w:rPr>
            </w:pPr>
            <w:r>
              <w:rPr>
                <w:rFonts w:hint="eastAsia" w:ascii="宋体" w:hAnsi="宋体" w:cs="宋体"/>
                <w:szCs w:val="21"/>
                <w:lang w:val="en-US" w:eastAsia="zh-CN"/>
              </w:rPr>
              <w:t>6.1.2</w:t>
            </w: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eastAsia" w:ascii="宋体" w:hAnsi="宋体" w:cs="宋体"/>
                <w:szCs w:val="21"/>
                <w:lang w:val="en-US" w:eastAsia="zh-CN"/>
              </w:rPr>
            </w:pPr>
          </w:p>
          <w:p>
            <w:pPr>
              <w:pStyle w:val="2"/>
              <w:rPr>
                <w:rFonts w:hint="default" w:ascii="宋体" w:hAnsi="宋体" w:cs="宋体"/>
                <w:szCs w:val="21"/>
                <w:lang w:val="en-US" w:eastAsia="zh-CN"/>
              </w:rPr>
            </w:pPr>
          </w:p>
        </w:tc>
        <w:tc>
          <w:tcPr>
            <w:tcW w:w="10642" w:type="dxa"/>
            <w:vAlign w:val="center"/>
          </w:tcPr>
          <w:p>
            <w:pPr>
              <w:rPr>
                <w:rFonts w:hint="eastAsia"/>
                <w:lang w:val="en-US" w:eastAsia="zh-CN"/>
              </w:rPr>
            </w:pPr>
            <w:r>
              <w:rPr>
                <w:rFonts w:hint="eastAsia"/>
                <w:lang w:val="en-US" w:eastAsia="zh-CN"/>
              </w:rPr>
              <w:t>查制定有《</w:t>
            </w:r>
            <w:r>
              <w:rPr>
                <w:rFonts w:hint="eastAsia"/>
              </w:rPr>
              <w:t>风险和机遇的应对措施控制程序</w:t>
            </w:r>
            <w:r>
              <w:rPr>
                <w:rFonts w:hint="eastAsia"/>
                <w:lang w:eastAsia="zh-CN"/>
              </w:rPr>
              <w:t>》（</w:t>
            </w:r>
            <w:r>
              <w:rPr>
                <w:rFonts w:hint="eastAsia"/>
              </w:rPr>
              <w:t>HY-QES-CX-23</w:t>
            </w:r>
            <w:r>
              <w:rPr>
                <w:rFonts w:hint="eastAsia"/>
                <w:lang w:eastAsia="zh-CN"/>
              </w:rPr>
              <w:t>），</w:t>
            </w:r>
            <w:r>
              <w:rPr>
                <w:rFonts w:hint="eastAsia"/>
                <w:lang w:val="en-US" w:eastAsia="zh-CN"/>
              </w:rPr>
              <w:t>提供有《风险与机遇评价与应对策划表》，</w:t>
            </w:r>
          </w:p>
          <w:p>
            <w:r>
              <w:rPr>
                <w:rFonts w:hint="eastAsia"/>
              </w:rPr>
              <w:t>企业识别了如下分析：</w:t>
            </w:r>
          </w:p>
          <w:p>
            <w:r>
              <w:rPr>
                <w:rFonts w:hint="eastAsia"/>
              </w:rPr>
              <w:t>1、政策风险：有产业和政策调整的风险较小。但为了防止未来有可能发生改变的政策，企业拟在其它类型的工作业务扩大做准备。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Pr>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rPr>
                <w:rFonts w:hint="eastAsia"/>
                <w:lang w:eastAsia="zh-CN"/>
              </w:rPr>
            </w:pPr>
            <w:r>
              <w:rPr>
                <w:rFonts w:hint="eastAsia"/>
                <w:lang w:eastAsia="zh-CN"/>
              </w:rPr>
              <w:t>查编制有《危险源辨识和风险评价控制程序》（HY-QES-CX-08），综合管理部负责组织对风险因素的评审活动，进行评价，确定不可接受风险因素，制订对风险因素的控制办法。</w:t>
            </w:r>
          </w:p>
          <w:p>
            <w:pPr>
              <w:pStyle w:val="2"/>
              <w:rPr>
                <w:rFonts w:hint="eastAsia"/>
                <w:lang w:eastAsia="zh-CN"/>
              </w:rPr>
            </w:pPr>
            <w:r>
              <w:rPr>
                <w:rFonts w:hint="eastAsia"/>
                <w:lang w:eastAsia="zh-CN"/>
              </w:rPr>
              <w:t>查提供《危险源辨识、风险评价表》、《不可接受风险清单》2020.12.21，共识别出危险源28项，包括办公区域线路老化引起火灾发生等。其中5项评价为不可接受风险。</w:t>
            </w:r>
          </w:p>
          <w:p>
            <w:pPr>
              <w:pStyle w:val="2"/>
              <w:rPr>
                <w:rFonts w:hint="eastAsia"/>
                <w:lang w:eastAsia="zh-CN"/>
              </w:rPr>
            </w:pPr>
            <w:r>
              <w:rPr>
                <w:rFonts w:hint="eastAsia"/>
                <w:lang w:eastAsia="zh-CN"/>
              </w:rPr>
              <w:t>危险源识别和评价基本适宜。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vAlign w:val="top"/>
          </w:tcPr>
          <w:p>
            <w:pPr>
              <w:spacing w:line="280" w:lineRule="exact"/>
              <w:rPr>
                <w:rFonts w:hint="default" w:eastAsia="宋体"/>
                <w:lang w:val="en-US" w:eastAsia="zh-CN"/>
              </w:rPr>
            </w:pPr>
            <w:r>
              <w:rPr>
                <w:rFonts w:hint="eastAsia"/>
              </w:rPr>
              <w:t>法律法</w:t>
            </w:r>
            <w:r>
              <w:rPr>
                <w:rFonts w:hint="eastAsia"/>
                <w:lang w:val="en-US" w:eastAsia="zh-CN"/>
              </w:rPr>
              <w:t>规和其他要求的确定</w:t>
            </w:r>
          </w:p>
          <w:p>
            <w:pPr>
              <w:spacing w:line="280" w:lineRule="exact"/>
              <w:rPr>
                <w:rFonts w:hint="default" w:ascii="Times New Roman" w:hAnsi="Times New Roman" w:eastAsia="宋体" w:cs="Times New Roman"/>
                <w:kern w:val="2"/>
                <w:sz w:val="21"/>
                <w:lang w:val="en-US" w:eastAsia="zh-CN" w:bidi="ar-SA"/>
              </w:rPr>
            </w:pPr>
          </w:p>
        </w:tc>
        <w:tc>
          <w:tcPr>
            <w:tcW w:w="1012" w:type="dxa"/>
            <w:vAlign w:val="top"/>
          </w:tcPr>
          <w:p>
            <w:pPr>
              <w:spacing w:line="280" w:lineRule="exact"/>
              <w:rPr>
                <w:szCs w:val="21"/>
              </w:rPr>
            </w:pPr>
          </w:p>
          <w:p>
            <w:pPr>
              <w:pStyle w:val="2"/>
              <w:rPr>
                <w:rFonts w:hint="default" w:ascii="Times New Roman" w:hAnsi="Times New Roman" w:eastAsia="宋体" w:cs="Times New Roman"/>
                <w:bCs/>
                <w:spacing w:val="10"/>
                <w:kern w:val="2"/>
                <w:sz w:val="21"/>
                <w:lang w:val="en-US" w:eastAsia="zh-CN" w:bidi="ar-SA"/>
              </w:rPr>
            </w:pPr>
            <w:r>
              <w:rPr>
                <w:rFonts w:hint="eastAsia"/>
              </w:rPr>
              <w:t>O</w:t>
            </w:r>
            <w:r>
              <w:t>6.1.3</w:t>
            </w:r>
          </w:p>
        </w:tc>
        <w:tc>
          <w:tcPr>
            <w:tcW w:w="10642" w:type="dxa"/>
            <w:vAlign w:val="center"/>
          </w:tcPr>
          <w:p>
            <w:pPr>
              <w:pStyle w:val="2"/>
              <w:rPr>
                <w:rFonts w:hint="eastAsia" w:ascii="Times New Roman" w:hAnsi="Times New Roman" w:eastAsia="宋体" w:cs="Times New Roman"/>
                <w:bCs/>
                <w:spacing w:val="10"/>
                <w:kern w:val="2"/>
                <w:sz w:val="21"/>
                <w:lang w:val="en-US" w:eastAsia="zh-CN" w:bidi="ar-SA"/>
              </w:rPr>
            </w:pPr>
            <w:r>
              <w:rPr>
                <w:rFonts w:hint="eastAsia"/>
                <w:lang w:val="en-US" w:eastAsia="zh-CN"/>
              </w:rPr>
              <w:t>查编制有《</w:t>
            </w:r>
            <w:r>
              <w:rPr>
                <w:rFonts w:hint="eastAsia"/>
              </w:rPr>
              <w:t>法律法规与其他要求获取、确认程序</w:t>
            </w:r>
            <w:r>
              <w:rPr>
                <w:rFonts w:hint="eastAsia"/>
                <w:lang w:eastAsia="zh-CN"/>
              </w:rPr>
              <w:t>》（</w:t>
            </w:r>
            <w:r>
              <w:rPr>
                <w:rFonts w:hint="eastAsia"/>
              </w:rPr>
              <w:t>HY-QES-CX-09</w:t>
            </w:r>
            <w:r>
              <w:rPr>
                <w:rFonts w:hint="eastAsia"/>
                <w:lang w:eastAsia="zh-CN"/>
              </w:rPr>
              <w:t>），</w:t>
            </w:r>
            <w:r>
              <w:rPr>
                <w:rFonts w:hint="eastAsia"/>
              </w:rPr>
              <w:t>提供了</w:t>
            </w:r>
            <w:r>
              <w:rPr>
                <w:rFonts w:hint="eastAsia"/>
                <w:lang w:val="en-US" w:eastAsia="zh-CN"/>
              </w:rPr>
              <w:t>质量和</w:t>
            </w:r>
            <w:r>
              <w:rPr>
                <w:rFonts w:hint="eastAsia"/>
              </w:rPr>
              <w:t>环境</w:t>
            </w:r>
            <w:r>
              <w:rPr>
                <w:rFonts w:hint="eastAsia"/>
                <w:lang w:eastAsia="zh-CN"/>
              </w:rPr>
              <w:t>、</w:t>
            </w:r>
            <w:r>
              <w:rPr>
                <w:rFonts w:hint="eastAsia"/>
                <w:lang w:val="en-US" w:eastAsia="zh-CN"/>
              </w:rPr>
              <w:t>职业健康安全</w:t>
            </w:r>
            <w:r>
              <w:rPr>
                <w:rFonts w:hint="eastAsia"/>
              </w:rPr>
              <w:t>适用法律、法规及其它要求清单，清单中包括</w:t>
            </w:r>
            <w:r>
              <w:rPr>
                <w:rFonts w:hint="eastAsia"/>
                <w:lang w:val="en-US" w:eastAsia="zh-CN"/>
              </w:rPr>
              <w:t>58</w:t>
            </w:r>
            <w:r>
              <w:rPr>
                <w:rFonts w:hint="eastAsia"/>
              </w:rPr>
              <w:t>条法律法规，提供了职业健康安全适用法律、法规及其它要求清单，清单中包括</w:t>
            </w:r>
            <w:r>
              <w:rPr>
                <w:rFonts w:hint="eastAsia"/>
                <w:lang w:val="en-US" w:eastAsia="zh-CN"/>
              </w:rPr>
              <w:t>44</w:t>
            </w:r>
            <w:r>
              <w:rPr>
                <w:rFonts w:hint="eastAsia"/>
              </w:rPr>
              <w:t>条法律法规。</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O6.1.4</w:t>
            </w:r>
          </w:p>
          <w:p>
            <w:pPr>
              <w:spacing w:line="280" w:lineRule="exact"/>
            </w:pPr>
          </w:p>
        </w:tc>
        <w:tc>
          <w:tcPr>
            <w:tcW w:w="10642" w:type="dxa"/>
            <w:vAlign w:val="center"/>
          </w:tcPr>
          <w:p>
            <w:pPr>
              <w:pStyle w:val="2"/>
            </w:pPr>
            <w:r>
              <w:rPr>
                <w:rFonts w:hint="eastAsia"/>
                <w:lang w:val="en-US" w:eastAsia="zh-CN"/>
              </w:rPr>
              <w:t>查提供有《风险与机遇评价与应对策划表》，</w:t>
            </w:r>
            <w:r>
              <w:rPr>
                <w:rFonts w:hint="eastAsia"/>
              </w:rPr>
              <w:t>企业制定了如下措施</w:t>
            </w:r>
            <w:r>
              <w:rPr>
                <w:rFonts w:hint="eastAsia"/>
                <w:lang w:eastAsia="zh-CN"/>
              </w:rPr>
              <w:t>，</w:t>
            </w:r>
            <w:r>
              <w:rPr>
                <w:rFonts w:hint="eastAsia"/>
                <w:lang w:val="en-US" w:eastAsia="zh-CN"/>
              </w:rPr>
              <w:t>进行了措施有效性评价</w:t>
            </w:r>
            <w:r>
              <w:rPr>
                <w:rFonts w:hint="eastAsia"/>
              </w:rPr>
              <w:t>：</w:t>
            </w:r>
          </w:p>
          <w:p>
            <w:pPr>
              <w:numPr>
                <w:ilvl w:val="0"/>
                <w:numId w:val="3"/>
              </w:numPr>
              <w:rPr>
                <w:rFonts w:hint="eastAsia" w:ascii="Times New Roman" w:hAnsi="Times New Roman" w:eastAsia="宋体" w:cs="Times New Roman"/>
                <w:szCs w:val="22"/>
              </w:rPr>
            </w:pPr>
            <w:r>
              <w:rPr>
                <w:rFonts w:hint="eastAsia" w:ascii="Times New Roman" w:hAnsi="Times New Roman" w:eastAsia="宋体" w:cs="Times New Roman"/>
                <w:szCs w:val="22"/>
              </w:rPr>
              <w:t>针对政策风险，公司时刻关注政策的走向，在符合政策的同时对公司进行开展运作。</w:t>
            </w:r>
          </w:p>
          <w:p>
            <w:pPr>
              <w:numPr>
                <w:ilvl w:val="0"/>
                <w:numId w:val="3"/>
              </w:numPr>
              <w:rPr>
                <w:rFonts w:hint="eastAsia" w:ascii="Times New Roman" w:hAnsi="Times New Roman" w:eastAsia="宋体" w:cs="Times New Roman"/>
                <w:szCs w:val="22"/>
              </w:rPr>
            </w:pPr>
            <w:r>
              <w:rPr>
                <w:rFonts w:hint="eastAsia" w:ascii="Times New Roman" w:hAnsi="Times New Roman" w:eastAsia="宋体" w:cs="Times New Roman"/>
                <w:szCs w:val="22"/>
              </w:rPr>
              <w:t>资金风险，公司建立一定得预备资金，防止一时的资金断裂对公司运行造成重大影响。</w:t>
            </w:r>
          </w:p>
          <w:p>
            <w:pPr>
              <w:numPr>
                <w:ilvl w:val="0"/>
                <w:numId w:val="3"/>
              </w:numPr>
            </w:pPr>
            <w:r>
              <w:rPr>
                <w:rFonts w:hint="eastAsia" w:ascii="Times New Roman" w:hAnsi="Times New Roman" w:eastAsia="宋体" w:cs="Times New Roman"/>
                <w:szCs w:val="22"/>
              </w:rPr>
              <w:t>技术风险的应对，定期进行人员培训及技术考核，公司做到公平公正的政策，引进适者生存的模式，对于不适宜的人员先进行调岗，如不能满足要求，再进行淘汰。</w:t>
            </w:r>
          </w:p>
          <w:p>
            <w:pPr>
              <w:numPr>
                <w:ilvl w:val="0"/>
                <w:numId w:val="3"/>
              </w:numPr>
            </w:pPr>
            <w:r>
              <w:rPr>
                <w:rFonts w:hint="eastAsia" w:ascii="Times New Roman" w:hAnsi="Times New Roman" w:eastAsia="宋体" w:cs="Times New Roman"/>
                <w:szCs w:val="22"/>
              </w:rPr>
              <w:t>管理及市场风险的应对，加强公司团队的建设，争取公司的竞争力度，积极开拓市场业务，必要时增加公司的资质，例如进行管理体系的认证。</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lang w:val="en-US" w:eastAsia="zh-CN"/>
              </w:rPr>
              <w:t>职业健康安全</w:t>
            </w:r>
            <w:r>
              <w:rPr>
                <w:rFonts w:hint="eastAsia" w:ascii="宋体" w:hAnsi="宋体" w:cs="宋体"/>
                <w:szCs w:val="21"/>
              </w:rPr>
              <w:t>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rPr>
                <w:rFonts w:hint="eastAsia"/>
                <w:lang w:val="en-US" w:eastAsia="zh-CN"/>
              </w:rPr>
            </w:pPr>
            <w:r>
              <w:rPr>
                <w:rFonts w:hint="eastAsia"/>
                <w:lang w:val="en-US" w:eastAsia="zh-CN"/>
              </w:rPr>
              <w:t>查编制有《目标、指标和管理方案控制程序》（HY-QES-CX-25）</w:t>
            </w:r>
          </w:p>
          <w:p>
            <w:pPr>
              <w:spacing w:line="280" w:lineRule="exact"/>
              <w:ind w:firstLine="420" w:firstLineChars="200"/>
              <w:rPr>
                <w:rFonts w:hint="eastAsia"/>
                <w:lang w:val="en-US" w:eastAsia="zh-CN"/>
              </w:rPr>
            </w:pPr>
            <w:r>
              <w:rPr>
                <w:rFonts w:hint="eastAsia"/>
                <w:lang w:val="en-US" w:eastAsia="zh-CN"/>
              </w:rPr>
              <w:t>公司对管理体系所需的相关职能、层次和过程设定管理目标。</w:t>
            </w:r>
          </w:p>
          <w:p>
            <w:pPr>
              <w:spacing w:line="280" w:lineRule="exact"/>
              <w:ind w:firstLine="420" w:firstLineChars="200"/>
              <w:rPr>
                <w:rFonts w:hint="eastAsia"/>
                <w:lang w:val="en-US" w:eastAsia="zh-CN"/>
              </w:rPr>
            </w:pPr>
            <w:r>
              <w:rPr>
                <w:rFonts w:hint="eastAsia"/>
                <w:lang w:val="en-US" w:eastAsia="zh-CN"/>
              </w:rPr>
              <w:t>公司管理目标是：               实际完成</w:t>
            </w:r>
          </w:p>
          <w:p>
            <w:pPr>
              <w:spacing w:line="280" w:lineRule="exact"/>
              <w:ind w:firstLine="420" w:firstLineChars="200"/>
              <w:rPr>
                <w:rFonts w:hint="eastAsia"/>
                <w:lang w:val="en-US" w:eastAsia="zh-CN"/>
              </w:rPr>
            </w:pPr>
            <w:r>
              <w:rPr>
                <w:rFonts w:hint="eastAsia"/>
                <w:lang w:val="en-US" w:eastAsia="zh-CN"/>
              </w:rPr>
              <w:t>1、顾客满意度≥90 分；             92</w:t>
            </w:r>
          </w:p>
          <w:p>
            <w:pPr>
              <w:spacing w:line="280" w:lineRule="exact"/>
              <w:ind w:firstLine="420" w:firstLineChars="200"/>
              <w:rPr>
                <w:rFonts w:hint="eastAsia"/>
                <w:lang w:val="en-US" w:eastAsia="zh-CN"/>
              </w:rPr>
            </w:pPr>
            <w:r>
              <w:rPr>
                <w:rFonts w:hint="eastAsia"/>
                <w:lang w:val="en-US" w:eastAsia="zh-CN"/>
              </w:rPr>
              <w:t>2、及时交付率 100%；              100</w:t>
            </w:r>
          </w:p>
          <w:p>
            <w:pPr>
              <w:spacing w:line="280" w:lineRule="exact"/>
              <w:ind w:firstLine="420" w:firstLineChars="200"/>
              <w:rPr>
                <w:rFonts w:hint="eastAsia"/>
                <w:lang w:val="en-US" w:eastAsia="zh-CN"/>
              </w:rPr>
            </w:pPr>
            <w:r>
              <w:rPr>
                <w:rFonts w:hint="eastAsia"/>
                <w:lang w:val="en-US" w:eastAsia="zh-CN"/>
              </w:rPr>
              <w:t>3、设计差错率≤5‰；               0</w:t>
            </w:r>
          </w:p>
          <w:p>
            <w:pPr>
              <w:spacing w:line="280" w:lineRule="exact"/>
              <w:ind w:firstLine="420" w:firstLineChars="200"/>
              <w:rPr>
                <w:rFonts w:hint="eastAsia"/>
                <w:lang w:val="en-US" w:eastAsia="zh-CN"/>
              </w:rPr>
            </w:pPr>
            <w:r>
              <w:rPr>
                <w:rFonts w:hint="eastAsia"/>
                <w:lang w:val="en-US" w:eastAsia="zh-CN"/>
              </w:rPr>
              <w:t>4、火灾事故为0；                   0</w:t>
            </w:r>
          </w:p>
          <w:p>
            <w:pPr>
              <w:spacing w:line="280" w:lineRule="exact"/>
              <w:ind w:firstLine="420" w:firstLineChars="200"/>
              <w:rPr>
                <w:rFonts w:hint="eastAsia"/>
                <w:lang w:val="en-US" w:eastAsia="zh-CN"/>
              </w:rPr>
            </w:pPr>
            <w:r>
              <w:rPr>
                <w:rFonts w:hint="eastAsia"/>
                <w:lang w:val="en-US" w:eastAsia="zh-CN"/>
              </w:rPr>
              <w:t>5、固废分类回收率100%；          100</w:t>
            </w:r>
          </w:p>
          <w:p>
            <w:pPr>
              <w:spacing w:line="280" w:lineRule="exact"/>
              <w:ind w:firstLine="420" w:firstLineChars="200"/>
              <w:rPr>
                <w:rFonts w:hint="eastAsia"/>
                <w:lang w:val="en-US" w:eastAsia="zh-CN"/>
              </w:rPr>
            </w:pPr>
            <w:r>
              <w:rPr>
                <w:rFonts w:hint="eastAsia"/>
                <w:lang w:val="en-US" w:eastAsia="zh-CN"/>
              </w:rPr>
              <w:t>6、触电事故为0.                    0</w:t>
            </w:r>
          </w:p>
          <w:p>
            <w:pPr>
              <w:spacing w:line="280" w:lineRule="exact"/>
              <w:ind w:firstLine="420" w:firstLineChars="200"/>
              <w:rPr>
                <w:rFonts w:hint="eastAsia"/>
                <w:lang w:val="en-US" w:eastAsia="zh-CN"/>
              </w:rPr>
            </w:pPr>
            <w:r>
              <w:rPr>
                <w:rFonts w:hint="eastAsia"/>
                <w:lang w:val="en-US" w:eastAsia="zh-CN"/>
              </w:rPr>
              <w:t>目标可测量，与公司管理方针一致。</w:t>
            </w:r>
          </w:p>
          <w:p>
            <w:pPr>
              <w:spacing w:line="280" w:lineRule="exact"/>
              <w:ind w:firstLine="420" w:firstLineChars="200"/>
              <w:rPr>
                <w:rFonts w:hint="eastAsia"/>
                <w:lang w:val="en-US" w:eastAsia="zh-CN"/>
              </w:rPr>
            </w:pPr>
            <w:r>
              <w:rPr>
                <w:rFonts w:hint="eastAsia"/>
                <w:lang w:val="en-US" w:eastAsia="zh-CN"/>
              </w:rPr>
              <w:t>每年由综合部按公司管理目标考核要求统计考核公司管理目标完成情况，提交管理评审会议。查到2020年10月-2021年4月，公司管理目标完成情况，各项目标均已完成，考核部门综合部。</w:t>
            </w:r>
          </w:p>
          <w:p>
            <w:pPr>
              <w:spacing w:line="280" w:lineRule="exact"/>
              <w:ind w:firstLine="420" w:firstLineChars="200"/>
            </w:pPr>
            <w:r>
              <w:rPr>
                <w:rFonts w:hint="eastAsia"/>
                <w:lang w:val="en-US" w:eastAsia="zh-CN"/>
              </w:rPr>
              <w:t>针对重要环境因素、不可接受风险制订了管理方案并予以实施，基本有效。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O7.1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pPr>
              <w:rPr>
                <w:rFonts w:hint="eastAsia" w:eastAsia="宋体"/>
                <w:lang w:eastAsia="zh-CN"/>
              </w:rPr>
            </w:pPr>
            <w:r>
              <w:rPr>
                <w:rFonts w:hint="eastAsia" w:ascii="宋体" w:hAnsi="宋体" w:cs="宋体"/>
                <w:szCs w:val="21"/>
              </w:rPr>
              <w:t>部门：供应部</w:t>
            </w:r>
            <w:r>
              <w:rPr>
                <w:rFonts w:hint="eastAsia" w:ascii="宋体" w:hAnsi="宋体" w:cs="宋体"/>
                <w:szCs w:val="21"/>
                <w:lang w:eastAsia="zh-CN"/>
              </w:rPr>
              <w:t>、安全质量生产部、综合管理部、财务部</w:t>
            </w:r>
          </w:p>
          <w:p>
            <w:pPr>
              <w:pStyle w:val="2"/>
            </w:pPr>
            <w:r>
              <w:rPr>
                <w:rFonts w:hint="eastAsia"/>
              </w:rPr>
              <w:t>人员：办公人员、业务人员、财务人员、生产人员、</w:t>
            </w:r>
            <w:r>
              <w:rPr>
                <w:rFonts w:hint="eastAsia"/>
                <w:lang w:val="en-US" w:eastAsia="zh-CN"/>
              </w:rPr>
              <w:t>研发人员、</w:t>
            </w:r>
            <w:r>
              <w:rPr>
                <w:rFonts w:hint="eastAsia"/>
              </w:rPr>
              <w:t>质检人员</w:t>
            </w:r>
          </w:p>
          <w:p>
            <w:pPr>
              <w:rPr>
                <w:rStyle w:val="12"/>
                <w:rFonts w:ascii="Arial" w:hAnsi="Arial" w:cs="Arial"/>
                <w:shd w:val="clear" w:color="auto" w:fill="FFFFFF"/>
              </w:rPr>
            </w:pPr>
            <w:r>
              <w:rPr>
                <w:rStyle w:val="12"/>
                <w:rFonts w:hint="eastAsia" w:ascii="Arial" w:hAnsi="Arial" w:cs="Arial"/>
                <w:shd w:val="clear" w:color="auto" w:fill="FFFFFF"/>
              </w:rPr>
              <w:t>办公设备：电脑、电话、打印机、传真机等</w:t>
            </w:r>
          </w:p>
          <w:p>
            <w:pPr>
              <w:pStyle w:val="2"/>
              <w:rPr>
                <w:rFonts w:hint="default"/>
                <w:lang w:val="en-US" w:eastAsia="zh-CN"/>
              </w:rPr>
            </w:pPr>
            <w:r>
              <w:rPr>
                <w:rFonts w:hint="eastAsia"/>
              </w:rPr>
              <w:t>生产</w:t>
            </w:r>
            <w:r>
              <w:rPr>
                <w:rFonts w:hint="eastAsia"/>
                <w:lang w:val="en-US" w:eastAsia="zh-CN"/>
              </w:rPr>
              <w:t>系统</w:t>
            </w:r>
            <w:r>
              <w:rPr>
                <w:rFonts w:hint="eastAsia"/>
              </w:rPr>
              <w:t>：</w:t>
            </w:r>
            <w:r>
              <w:rPr>
                <w:rFonts w:hint="eastAsia"/>
                <w:lang w:val="en-US" w:eastAsia="zh-CN"/>
              </w:rPr>
              <w:t>渗滤液及污水系统、垃圾焚烧低温循环水供热系统、炉渣处理系统</w:t>
            </w:r>
          </w:p>
          <w:p>
            <w:pPr>
              <w:pStyle w:val="2"/>
              <w:rPr>
                <w:rFonts w:hint="eastAsia" w:eastAsia="宋体"/>
                <w:lang w:eastAsia="zh-CN"/>
              </w:rPr>
            </w:pPr>
            <w:r>
              <w:rPr>
                <w:rStyle w:val="12"/>
                <w:rFonts w:hint="eastAsia" w:ascii="Arial" w:hAnsi="Arial" w:cs="Arial"/>
                <w:bCs w:val="0"/>
                <w:spacing w:val="0"/>
                <w:shd w:val="clear" w:color="auto" w:fill="FFFFFF"/>
              </w:rPr>
              <w:t>消防设施：</w:t>
            </w:r>
            <w:r>
              <w:rPr>
                <w:rStyle w:val="12"/>
                <w:rFonts w:hint="eastAsia" w:ascii="Arial" w:hAnsi="Arial" w:cs="Arial"/>
                <w:bCs w:val="0"/>
                <w:spacing w:val="0"/>
                <w:shd w:val="clear" w:color="auto" w:fill="FFFFFF"/>
                <w:lang w:val="en-US" w:eastAsia="zh-CN"/>
              </w:rPr>
              <w:t>正压式呼吸器、消防服、</w:t>
            </w:r>
            <w:r>
              <w:rPr>
                <w:rStyle w:val="12"/>
                <w:rFonts w:hint="eastAsia" w:ascii="Arial" w:hAnsi="Arial" w:cs="Arial"/>
                <w:bCs w:val="0"/>
                <w:spacing w:val="0"/>
                <w:shd w:val="clear" w:color="auto" w:fill="FFFFFF"/>
              </w:rPr>
              <w:t>消防</w:t>
            </w:r>
            <w:r>
              <w:rPr>
                <w:rStyle w:val="12"/>
                <w:rFonts w:hint="eastAsia" w:ascii="Arial" w:hAnsi="Arial" w:cs="Arial"/>
                <w:bCs w:val="0"/>
                <w:spacing w:val="0"/>
                <w:shd w:val="clear" w:color="auto" w:fill="FFFFFF"/>
                <w:lang w:val="en-US" w:eastAsia="zh-CN"/>
              </w:rPr>
              <w:t>斧</w:t>
            </w:r>
            <w:r>
              <w:rPr>
                <w:rStyle w:val="12"/>
                <w:rFonts w:hint="eastAsia" w:ascii="Arial" w:hAnsi="Arial" w:cs="Arial"/>
                <w:bCs w:val="0"/>
                <w:spacing w:val="0"/>
                <w:shd w:val="clear" w:color="auto" w:fill="FFFFFF"/>
              </w:rPr>
              <w:t>、灭火器、</w:t>
            </w:r>
            <w:r>
              <w:rPr>
                <w:rStyle w:val="12"/>
                <w:rFonts w:hint="eastAsia" w:ascii="Arial" w:hAnsi="Arial" w:cs="Arial"/>
                <w:bCs w:val="0"/>
                <w:spacing w:val="0"/>
                <w:shd w:val="clear" w:color="auto" w:fill="FFFFFF"/>
                <w:lang w:val="en-US" w:eastAsia="zh-CN"/>
              </w:rPr>
              <w:t>滤毒罐、消防水带、防毒面具、</w:t>
            </w:r>
            <w:r>
              <w:rPr>
                <w:rStyle w:val="12"/>
                <w:rFonts w:hint="eastAsia" w:ascii="Arial" w:hAnsi="Arial" w:cs="Arial"/>
                <w:bCs w:val="0"/>
                <w:spacing w:val="0"/>
                <w:shd w:val="clear" w:color="auto" w:fill="FFFFFF"/>
              </w:rPr>
              <w:t>应急灯等</w:t>
            </w:r>
            <w:r>
              <w:rPr>
                <w:rStyle w:val="12"/>
                <w:rFonts w:hint="eastAsia" w:ascii="Arial" w:hAnsi="Arial" w:cs="Arial"/>
                <w:bCs w:val="0"/>
                <w:spacing w:val="0"/>
                <w:shd w:val="clear" w:color="auto" w:fill="FFFFFF"/>
                <w:lang w:eastAsia="zh-CN"/>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2160" w:type="dxa"/>
            <w:vAlign w:val="center"/>
          </w:tcPr>
          <w:p>
            <w:pPr>
              <w:rPr>
                <w:rFonts w:hint="default" w:ascii="宋体" w:hAnsi="宋体" w:eastAsia="宋体" w:cs="宋体"/>
                <w:szCs w:val="21"/>
                <w:lang w:val="en-US" w:eastAsia="zh-CN"/>
              </w:rPr>
            </w:pPr>
            <w:r>
              <w:rPr>
                <w:rFonts w:hint="eastAsia" w:asciiTheme="minorEastAsia" w:hAnsiTheme="minorEastAsia" w:eastAsiaTheme="minorEastAsia" w:cstheme="minorEastAsia"/>
                <w:szCs w:val="21"/>
                <w:lang w:val="en-US" w:eastAsia="zh-CN"/>
              </w:rPr>
              <w:t>监视、测量、分析和评价绩效</w:t>
            </w:r>
          </w:p>
        </w:tc>
        <w:tc>
          <w:tcPr>
            <w:tcW w:w="1012"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lang w:val="en-US" w:eastAsia="zh-CN"/>
              </w:rPr>
              <w:t>9.1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顾客满意度管理程序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HY-QES-CX-12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w:t>
            </w:r>
            <w:r>
              <w:rPr>
                <w:rFonts w:hint="eastAsia"/>
              </w:rPr>
              <w:t>产品</w:t>
            </w:r>
            <w:r>
              <w:rPr>
                <w:rFonts w:hint="eastAsia" w:asciiTheme="minorEastAsia" w:hAnsiTheme="minorEastAsia" w:eastAsiaTheme="minorEastAsia" w:cstheme="minorEastAsia"/>
                <w:szCs w:val="21"/>
              </w:rPr>
              <w:t>的质量特性进行监视和测量，以验证其符合要求的程度，确保服务符合要求。</w:t>
            </w:r>
          </w:p>
          <w:p>
            <w:pPr>
              <w:pStyle w:val="2"/>
              <w:ind w:firstLine="460" w:firstLineChars="200"/>
              <w:rPr>
                <w:rFonts w:hint="default" w:eastAsiaTheme="minorEastAsia"/>
                <w:lang w:val="en-US" w:eastAsia="zh-CN"/>
              </w:rPr>
            </w:pPr>
            <w:r>
              <w:rPr>
                <w:rFonts w:hint="eastAsia" w:asciiTheme="minorEastAsia" w:hAnsiTheme="minorEastAsia" w:eastAsiaTheme="minorEastAsia" w:cstheme="minorEastAsia"/>
                <w:szCs w:val="21"/>
              </w:rPr>
              <w:t>公司制定</w:t>
            </w:r>
            <w:r>
              <w:rPr>
                <w:rFonts w:hint="eastAsia" w:eastAsiaTheme="minorEastAsia"/>
                <w:lang w:val="en-US" w:eastAsia="zh-CN"/>
              </w:rPr>
              <w:t>《环境、职业健康安全绩效监视和测量程序》（HY-QES-CX-17）、</w:t>
            </w:r>
            <w:r>
              <w:rPr>
                <w:rFonts w:hint="eastAsia" w:asciiTheme="minorEastAsia" w:hAnsiTheme="minorEastAsia" w:eastAsiaTheme="minorEastAsia" w:cstheme="minorEastAsia"/>
                <w:szCs w:val="21"/>
              </w:rPr>
              <w:t>《内部审核控制程序》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HY-QES-CX-18</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、《管理评审控制程序》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HY-QES-CX-04</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pStyle w:val="2"/>
              <w:ind w:firstLine="460" w:firstLineChars="200"/>
            </w:pPr>
            <w:r>
              <w:rPr>
                <w:rFonts w:hint="eastAsia"/>
              </w:rPr>
              <w:t>综合部提供了质量目标分解与实施表，规定了分解部门，分解值与采取的措施，考核频次为每</w:t>
            </w:r>
            <w:r>
              <w:rPr>
                <w:rFonts w:hint="eastAsia"/>
                <w:lang w:val="en-US" w:eastAsia="zh-CN"/>
              </w:rPr>
              <w:t>月/第年</w:t>
            </w:r>
            <w:r>
              <w:rPr>
                <w:rFonts w:hint="eastAsia"/>
              </w:rPr>
              <w:t>。目标均完成。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w:t>
            </w:r>
          </w:p>
          <w:p>
            <w:pPr>
              <w:ind w:firstLine="420" w:firstLineChars="200"/>
              <w:rPr>
                <w:rFonts w:ascii="宋体" w:hAnsi="宋体" w:cs="宋体"/>
                <w:szCs w:val="21"/>
              </w:rPr>
            </w:pPr>
            <w:r>
              <w:rPr>
                <w:rFonts w:hint="eastAsia" w:asciiTheme="minorEastAsia" w:hAnsiTheme="minorEastAsia" w:eastAsiaTheme="minorEastAsia" w:cstheme="minorEastAsia"/>
                <w:szCs w:val="21"/>
              </w:rPr>
              <w:t xml:space="preserve"> 抽查职业健康安全目标管理方案检查表，评价结论为</w:t>
            </w:r>
            <w:r>
              <w:rPr>
                <w:rFonts w:hint="eastAsia" w:ascii="宋体" w:hAnsi="宋体" w:cs="宋体"/>
                <w:szCs w:val="21"/>
              </w:rPr>
              <w:t>通过贯彻GB/T45001-20</w:t>
            </w:r>
            <w:r>
              <w:rPr>
                <w:rFonts w:hint="eastAsia" w:ascii="宋体" w:hAnsi="宋体" w:cs="宋体"/>
                <w:szCs w:val="21"/>
                <w:lang w:val="en-US" w:eastAsia="zh-CN"/>
              </w:rPr>
              <w:t>20</w:t>
            </w:r>
            <w:r>
              <w:rPr>
                <w:rFonts w:ascii="宋体" w:hAnsi="宋体" w:cs="宋体"/>
                <w:szCs w:val="21"/>
              </w:rPr>
              <w:t>idt</w:t>
            </w:r>
            <w:r>
              <w:rPr>
                <w:rFonts w:hint="eastAsia" w:ascii="宋体" w:hAnsi="宋体" w:cs="宋体"/>
                <w:szCs w:val="21"/>
                <w:lang w:val="en-US" w:eastAsia="zh-CN"/>
              </w:rPr>
              <w:t xml:space="preserve"> </w:t>
            </w:r>
            <w:r>
              <w:rPr>
                <w:rFonts w:ascii="宋体" w:hAnsi="宋体" w:cs="宋体"/>
                <w:szCs w:val="21"/>
              </w:rPr>
              <w:t>ISO</w:t>
            </w:r>
            <w:r>
              <w:rPr>
                <w:rFonts w:hint="eastAsia" w:ascii="宋体" w:hAnsi="宋体" w:cs="宋体"/>
                <w:szCs w:val="21"/>
                <w:lang w:val="en-US" w:eastAsia="zh-CN"/>
              </w:rPr>
              <w:t>45</w:t>
            </w:r>
            <w:r>
              <w:rPr>
                <w:rFonts w:ascii="宋体" w:hAnsi="宋体" w:cs="宋体"/>
                <w:szCs w:val="21"/>
              </w:rPr>
              <w:t>001:201</w:t>
            </w:r>
            <w:r>
              <w:rPr>
                <w:rFonts w:hint="eastAsia" w:ascii="宋体" w:hAnsi="宋体" w:cs="宋体"/>
                <w:szCs w:val="21"/>
                <w:lang w:val="en-US" w:eastAsia="zh-CN"/>
              </w:rPr>
              <w:t>8</w:t>
            </w:r>
            <w:r>
              <w:rPr>
                <w:rFonts w:hint="eastAsia" w:ascii="宋体" w:hAnsi="宋体" w:cs="宋体"/>
                <w:szCs w:val="21"/>
              </w:rPr>
              <w:t>标准，公司员工的安全意识明显加强，公司的安全管理水平有了较大的提高。公司的办公区域及所管辖的现场范围内的安全工作更加规范，在工作得到了客户的好评。</w:t>
            </w:r>
            <w:r>
              <w:rPr>
                <w:rFonts w:hint="eastAsia" w:asciiTheme="minorEastAsia" w:hAnsiTheme="minorEastAsia" w:eastAsiaTheme="minorEastAsia" w:cstheme="minorEastAsia"/>
                <w:szCs w:val="21"/>
              </w:rPr>
              <w:t>评价人为公司领导和各部门负责人，评价时间为2020.10.12</w:t>
            </w:r>
          </w:p>
          <w:p>
            <w:pPr>
              <w:ind w:firstLine="420" w:firstLineChars="200"/>
              <w:rPr>
                <w:rFonts w:ascii="宋体" w:hAnsi="宋体"/>
                <w:szCs w:val="21"/>
              </w:rPr>
            </w:pPr>
            <w:r>
              <w:rPr>
                <w:rFonts w:hint="eastAsia" w:asciiTheme="minorEastAsia" w:hAnsiTheme="minorEastAsia" w:eastAsiaTheme="minorEastAsia" w:cstheme="minorEastAsia"/>
                <w:szCs w:val="21"/>
              </w:rPr>
              <w:t>目前未发现公司出现违规现象。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8"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hint="eastAsia" w:ascii="宋体" w:hAnsi="宋体" w:cs="宋体"/>
                <w:szCs w:val="21"/>
                <w:lang w:val="en-US" w:eastAsia="zh-CN"/>
              </w:rPr>
            </w:pPr>
            <w:r>
              <w:rPr>
                <w:rFonts w:hint="eastAsia" w:ascii="宋体" w:hAnsi="宋体" w:cs="宋体"/>
                <w:szCs w:val="21"/>
                <w:lang w:val="en-US" w:eastAsia="zh-CN"/>
              </w:rPr>
              <w:t>查编制有《管理评审控制程序》（HY-QES-CX-04），</w:t>
            </w:r>
          </w:p>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评审时间：计划2021年04月09日进行，评审方式：会议评审，</w:t>
            </w:r>
          </w:p>
          <w:p>
            <w:pPr>
              <w:rPr>
                <w:rFonts w:hint="eastAsia" w:ascii="宋体" w:hAnsi="宋体" w:eastAsia="宋体" w:cs="宋体"/>
                <w:szCs w:val="21"/>
                <w:lang w:val="en-US" w:eastAsia="zh-CN"/>
              </w:rPr>
            </w:pPr>
            <w:r>
              <w:rPr>
                <w:rFonts w:hint="eastAsia" w:ascii="宋体" w:hAnsi="宋体" w:cs="宋体"/>
                <w:szCs w:val="21"/>
              </w:rPr>
              <w:t xml:space="preserve">编制：丛萍萍   </w:t>
            </w:r>
            <w:r>
              <w:rPr>
                <w:rFonts w:hint="eastAsia" w:ascii="宋体" w:hAnsi="宋体" w:cs="宋体"/>
                <w:szCs w:val="21"/>
                <w:lang w:val="en-US" w:eastAsia="zh-CN"/>
              </w:rPr>
              <w:t xml:space="preserve">审核：王淑范  </w:t>
            </w:r>
            <w:r>
              <w:rPr>
                <w:rFonts w:hint="eastAsia" w:ascii="宋体" w:hAnsi="宋体" w:cs="宋体"/>
                <w:szCs w:val="21"/>
              </w:rPr>
              <w:t>批准：</w:t>
            </w:r>
            <w:r>
              <w:rPr>
                <w:rFonts w:hint="eastAsia" w:ascii="宋体" w:hAnsi="宋体" w:cs="宋体"/>
                <w:bCs/>
                <w:szCs w:val="21"/>
              </w:rPr>
              <w:t xml:space="preserve">柯银清 </w:t>
            </w:r>
            <w:r>
              <w:rPr>
                <w:rFonts w:hint="eastAsia" w:ascii="宋体" w:hAnsi="宋体" w:cs="宋体"/>
                <w:szCs w:val="21"/>
              </w:rPr>
              <w:t xml:space="preserve"> </w:t>
            </w:r>
            <w:r>
              <w:rPr>
                <w:rFonts w:hint="eastAsia" w:ascii="宋体" w:hAnsi="宋体" w:cs="宋体"/>
                <w:szCs w:val="21"/>
                <w:lang w:val="en-US" w:eastAsia="zh-CN"/>
              </w:rPr>
              <w:t>日期：2021年04月06日</w:t>
            </w:r>
          </w:p>
          <w:p>
            <w:pPr>
              <w:spacing w:line="280" w:lineRule="exact"/>
              <w:rPr>
                <w:rFonts w:ascii="宋体" w:hAnsi="宋体" w:cs="宋体"/>
                <w:szCs w:val="21"/>
              </w:rPr>
            </w:pPr>
            <w:r>
              <w:rPr>
                <w:rFonts w:hint="eastAsia" w:ascii="宋体" w:hAnsi="宋体" w:cs="宋体"/>
                <w:szCs w:val="21"/>
              </w:rPr>
              <w:t xml:space="preserve">   参加人员包括公司</w:t>
            </w:r>
            <w:r>
              <w:rPr>
                <w:rFonts w:hint="eastAsia" w:ascii="宋体" w:hAnsi="宋体" w:cs="宋体"/>
                <w:szCs w:val="21"/>
                <w:lang w:eastAsia="zh-CN"/>
              </w:rPr>
              <w:t>总裁</w:t>
            </w:r>
            <w:r>
              <w:rPr>
                <w:rFonts w:hint="eastAsia" w:ascii="宋体" w:hAnsi="宋体" w:cs="宋体"/>
                <w:szCs w:val="21"/>
              </w:rPr>
              <w:t>、管理者代表、各部门负责人，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4"/>
              </w:numPr>
              <w:spacing w:line="280" w:lineRule="exact"/>
              <w:rPr>
                <w:rFonts w:ascii="宋体" w:hAnsi="宋体" w:cs="宋体"/>
                <w:szCs w:val="21"/>
              </w:rPr>
            </w:pPr>
            <w:r>
              <w:rPr>
                <w:rFonts w:hint="eastAsia" w:ascii="宋体" w:hAnsi="宋体" w:cs="宋体"/>
                <w:szCs w:val="21"/>
              </w:rPr>
              <w:t>管理评审内容：</w:t>
            </w:r>
          </w:p>
          <w:p>
            <w:pPr>
              <w:numPr>
                <w:ilvl w:val="0"/>
                <w:numId w:val="5"/>
              </w:numPr>
              <w:spacing w:line="280" w:lineRule="exact"/>
              <w:ind w:left="425" w:leftChars="0" w:hanging="425" w:firstLineChars="0"/>
              <w:rPr>
                <w:rFonts w:hint="eastAsia" w:ascii="宋体" w:hAnsi="宋体" w:cs="宋体"/>
                <w:szCs w:val="21"/>
              </w:rPr>
            </w:pPr>
            <w:r>
              <w:rPr>
                <w:rFonts w:hint="eastAsia" w:ascii="宋体" w:hAnsi="宋体" w:cs="宋体"/>
                <w:szCs w:val="21"/>
              </w:rPr>
              <w:t>以往管理评审所采取措施的情况；</w:t>
            </w:r>
          </w:p>
          <w:p>
            <w:pPr>
              <w:numPr>
                <w:ilvl w:val="0"/>
                <w:numId w:val="5"/>
              </w:numPr>
              <w:spacing w:line="280" w:lineRule="exact"/>
              <w:ind w:left="425" w:leftChars="0" w:hanging="425" w:firstLineChars="0"/>
              <w:rPr>
                <w:rFonts w:hint="eastAsia" w:ascii="宋体" w:hAnsi="宋体" w:cs="宋体"/>
                <w:szCs w:val="21"/>
              </w:rPr>
            </w:pPr>
            <w:r>
              <w:rPr>
                <w:rFonts w:hint="eastAsia" w:ascii="宋体" w:hAnsi="宋体" w:cs="宋体"/>
                <w:szCs w:val="21"/>
              </w:rPr>
              <w:t>与管理体系相关的内外部因素的变化；</w:t>
            </w:r>
          </w:p>
          <w:p>
            <w:pPr>
              <w:numPr>
                <w:ilvl w:val="0"/>
                <w:numId w:val="5"/>
              </w:numPr>
              <w:spacing w:line="280" w:lineRule="exact"/>
              <w:ind w:left="425" w:leftChars="0" w:hanging="425" w:firstLineChars="0"/>
              <w:rPr>
                <w:rFonts w:hint="eastAsia" w:ascii="宋体" w:hAnsi="宋体" w:cs="宋体"/>
                <w:szCs w:val="21"/>
              </w:rPr>
            </w:pPr>
            <w:r>
              <w:rPr>
                <w:rFonts w:hint="eastAsia" w:ascii="宋体" w:hAnsi="宋体" w:cs="宋体"/>
                <w:szCs w:val="21"/>
              </w:rPr>
              <w:t>下列有关管理体系绩效和有效性的信息，包括其趋势：</w:t>
            </w:r>
          </w:p>
          <w:p>
            <w:pPr>
              <w:spacing w:line="280" w:lineRule="exact"/>
              <w:rPr>
                <w:rFonts w:hint="eastAsia" w:ascii="宋体" w:hAnsi="宋体" w:cs="宋体"/>
                <w:szCs w:val="21"/>
              </w:rPr>
            </w:pPr>
            <w:r>
              <w:rPr>
                <w:rFonts w:hint="eastAsia" w:ascii="宋体" w:hAnsi="宋体" w:cs="宋体"/>
                <w:szCs w:val="21"/>
              </w:rPr>
              <w:t xml:space="preserve">  1）顾客满意和有关相关方的反馈；</w:t>
            </w:r>
          </w:p>
          <w:p>
            <w:pPr>
              <w:spacing w:line="280" w:lineRule="exact"/>
              <w:rPr>
                <w:rFonts w:hint="eastAsia" w:ascii="宋体" w:hAnsi="宋体" w:cs="宋体"/>
                <w:szCs w:val="21"/>
              </w:rPr>
            </w:pPr>
            <w:r>
              <w:rPr>
                <w:rFonts w:hint="eastAsia" w:ascii="宋体" w:hAnsi="宋体" w:cs="宋体"/>
                <w:szCs w:val="21"/>
              </w:rPr>
              <w:t xml:space="preserve">  2）管理目标的实现程度；</w:t>
            </w:r>
          </w:p>
          <w:p>
            <w:pPr>
              <w:spacing w:line="280" w:lineRule="exact"/>
              <w:rPr>
                <w:rFonts w:hint="eastAsia" w:ascii="宋体" w:hAnsi="宋体" w:cs="宋体"/>
                <w:szCs w:val="21"/>
              </w:rPr>
            </w:pPr>
            <w:r>
              <w:rPr>
                <w:rFonts w:hint="eastAsia" w:ascii="宋体" w:hAnsi="宋体" w:cs="宋体"/>
                <w:szCs w:val="21"/>
              </w:rPr>
              <w:t xml:space="preserve">  3）过程绩效以及产品和服务的合格情况；</w:t>
            </w:r>
          </w:p>
          <w:p>
            <w:pPr>
              <w:spacing w:line="280" w:lineRule="exact"/>
              <w:rPr>
                <w:rFonts w:hint="eastAsia" w:ascii="宋体" w:hAnsi="宋体" w:cs="宋体"/>
                <w:szCs w:val="21"/>
              </w:rPr>
            </w:pPr>
            <w:r>
              <w:rPr>
                <w:rFonts w:hint="eastAsia" w:ascii="宋体" w:hAnsi="宋体" w:cs="宋体"/>
                <w:szCs w:val="21"/>
              </w:rPr>
              <w:t xml:space="preserve">  4）不合格及纠正措施；</w:t>
            </w:r>
          </w:p>
          <w:p>
            <w:pPr>
              <w:spacing w:line="280" w:lineRule="exact"/>
              <w:rPr>
                <w:rFonts w:hint="eastAsia" w:ascii="宋体" w:hAnsi="宋体" w:cs="宋体"/>
                <w:szCs w:val="21"/>
              </w:rPr>
            </w:pPr>
            <w:r>
              <w:rPr>
                <w:rFonts w:hint="eastAsia" w:ascii="宋体" w:hAnsi="宋体" w:cs="宋体"/>
                <w:szCs w:val="21"/>
              </w:rPr>
              <w:t xml:space="preserve">  5）监视和测量结果；</w:t>
            </w:r>
          </w:p>
          <w:p>
            <w:pPr>
              <w:spacing w:line="280" w:lineRule="exact"/>
              <w:rPr>
                <w:rFonts w:hint="eastAsia" w:ascii="宋体" w:hAnsi="宋体" w:cs="宋体"/>
                <w:szCs w:val="21"/>
              </w:rPr>
            </w:pPr>
            <w:r>
              <w:rPr>
                <w:rFonts w:hint="eastAsia" w:ascii="宋体" w:hAnsi="宋体" w:cs="宋体"/>
                <w:szCs w:val="21"/>
              </w:rPr>
              <w:t xml:space="preserve">  6）审核结果；</w:t>
            </w:r>
          </w:p>
          <w:p>
            <w:pPr>
              <w:spacing w:line="280" w:lineRule="exact"/>
              <w:rPr>
                <w:rFonts w:hint="eastAsia" w:ascii="宋体" w:hAnsi="宋体" w:cs="宋体"/>
                <w:szCs w:val="21"/>
              </w:rPr>
            </w:pPr>
            <w:r>
              <w:rPr>
                <w:rFonts w:hint="eastAsia" w:ascii="宋体" w:hAnsi="宋体" w:cs="宋体"/>
                <w:szCs w:val="21"/>
              </w:rPr>
              <w:t xml:space="preserve">  7）外部供方的绩效。</w:t>
            </w:r>
          </w:p>
          <w:p>
            <w:pPr>
              <w:numPr>
                <w:ilvl w:val="0"/>
                <w:numId w:val="5"/>
              </w:numPr>
              <w:spacing w:line="280" w:lineRule="exact"/>
              <w:ind w:left="425" w:leftChars="0" w:hanging="425" w:firstLineChars="0"/>
              <w:rPr>
                <w:rFonts w:hint="eastAsia" w:ascii="宋体" w:hAnsi="宋体" w:cs="宋体"/>
                <w:szCs w:val="21"/>
              </w:rPr>
            </w:pPr>
            <w:r>
              <w:rPr>
                <w:rFonts w:hint="eastAsia" w:ascii="宋体" w:hAnsi="宋体" w:cs="宋体"/>
                <w:szCs w:val="21"/>
              </w:rPr>
              <w:t>资源的充分性；</w:t>
            </w:r>
          </w:p>
          <w:p>
            <w:pPr>
              <w:numPr>
                <w:ilvl w:val="0"/>
                <w:numId w:val="5"/>
              </w:numPr>
              <w:spacing w:line="280" w:lineRule="exact"/>
              <w:ind w:left="425" w:leftChars="0" w:hanging="425" w:firstLineChars="0"/>
              <w:rPr>
                <w:rFonts w:hint="eastAsia" w:ascii="宋体" w:hAnsi="宋体" w:eastAsia="宋体" w:cs="宋体"/>
                <w:szCs w:val="21"/>
              </w:rPr>
            </w:pPr>
            <w:r>
              <w:rPr>
                <w:rFonts w:hint="eastAsia" w:ascii="宋体" w:hAnsi="宋体" w:eastAsia="宋体" w:cs="宋体"/>
                <w:szCs w:val="21"/>
              </w:rPr>
              <w:t>应对风险和机遇所采取措施的有效性；</w:t>
            </w:r>
          </w:p>
          <w:p>
            <w:pPr>
              <w:numPr>
                <w:ilvl w:val="0"/>
                <w:numId w:val="5"/>
              </w:numPr>
              <w:spacing w:line="280" w:lineRule="exact"/>
              <w:ind w:left="425" w:leftChars="0" w:hanging="425" w:firstLineChars="0"/>
              <w:rPr>
                <w:rFonts w:hint="eastAsia" w:ascii="宋体" w:hAnsi="宋体" w:eastAsia="宋体" w:cs="宋体"/>
                <w:szCs w:val="21"/>
              </w:rPr>
            </w:pPr>
            <w:r>
              <w:rPr>
                <w:rFonts w:hint="eastAsia" w:ascii="宋体" w:hAnsi="宋体" w:eastAsia="宋体" w:cs="宋体"/>
                <w:szCs w:val="21"/>
              </w:rPr>
              <w:t>改进的机会。</w:t>
            </w:r>
          </w:p>
          <w:p>
            <w:pPr>
              <w:numPr>
                <w:ilvl w:val="0"/>
                <w:numId w:val="5"/>
              </w:numPr>
              <w:spacing w:line="280" w:lineRule="exact"/>
              <w:ind w:left="425" w:leftChars="0" w:hanging="425" w:firstLineChars="0"/>
              <w:rPr>
                <w:rFonts w:hint="eastAsia" w:ascii="宋体" w:hAnsi="宋体" w:eastAsia="宋体" w:cs="宋体"/>
                <w:szCs w:val="21"/>
              </w:rPr>
            </w:pPr>
            <w:r>
              <w:rPr>
                <w:rFonts w:hint="eastAsia" w:ascii="宋体" w:hAnsi="宋体" w:eastAsia="宋体" w:cs="宋体"/>
                <w:szCs w:val="21"/>
              </w:rPr>
              <w:t>与环境、职业健康安全有关的其他重要事宜；</w:t>
            </w:r>
          </w:p>
          <w:p>
            <w:pPr>
              <w:numPr>
                <w:ilvl w:val="0"/>
                <w:numId w:val="5"/>
              </w:numPr>
              <w:spacing w:line="280" w:lineRule="exact"/>
              <w:ind w:left="425" w:leftChars="0" w:hanging="425" w:firstLineChars="0"/>
              <w:rPr>
                <w:rFonts w:hint="eastAsia" w:ascii="宋体" w:hAnsi="宋体" w:eastAsia="宋体" w:cs="宋体"/>
                <w:szCs w:val="21"/>
              </w:rPr>
            </w:pPr>
            <w:r>
              <w:rPr>
                <w:rFonts w:hint="eastAsia" w:ascii="宋体" w:hAnsi="宋体" w:eastAsia="宋体" w:cs="宋体"/>
                <w:szCs w:val="21"/>
              </w:rPr>
              <w:t>重要环境因素、不可接受风险的控制</w:t>
            </w:r>
          </w:p>
          <w:p>
            <w:pPr>
              <w:numPr>
                <w:ilvl w:val="0"/>
                <w:numId w:val="5"/>
              </w:numPr>
              <w:spacing w:line="280" w:lineRule="exact"/>
              <w:ind w:left="425" w:leftChars="0" w:hanging="425" w:firstLineChars="0"/>
              <w:rPr>
                <w:rFonts w:hint="eastAsia" w:ascii="宋体" w:hAnsi="宋体" w:eastAsia="宋体" w:cs="宋体"/>
                <w:szCs w:val="21"/>
              </w:rPr>
            </w:pPr>
            <w:r>
              <w:rPr>
                <w:rFonts w:hint="eastAsia" w:ascii="宋体" w:hAnsi="宋体" w:eastAsia="宋体" w:cs="宋体"/>
                <w:szCs w:val="21"/>
              </w:rPr>
              <w:t>运行控制的效果</w:t>
            </w:r>
          </w:p>
          <w:p>
            <w:pPr>
              <w:numPr>
                <w:ilvl w:val="0"/>
                <w:numId w:val="5"/>
              </w:numPr>
              <w:spacing w:line="280" w:lineRule="exact"/>
              <w:ind w:left="425" w:leftChars="0" w:hanging="425" w:firstLineChars="0"/>
              <w:rPr>
                <w:rFonts w:hint="eastAsia" w:ascii="宋体" w:hAnsi="宋体" w:eastAsia="宋体" w:cs="宋体"/>
                <w:szCs w:val="21"/>
              </w:rPr>
            </w:pPr>
            <w:r>
              <w:rPr>
                <w:rFonts w:hint="eastAsia" w:ascii="宋体" w:hAnsi="宋体" w:eastAsia="宋体" w:cs="宋体"/>
                <w:szCs w:val="21"/>
              </w:rPr>
              <w:t>合规性评价的结果</w:t>
            </w:r>
          </w:p>
          <w:p>
            <w:pPr>
              <w:numPr>
                <w:ilvl w:val="0"/>
                <w:numId w:val="5"/>
              </w:numPr>
              <w:spacing w:line="280" w:lineRule="exact"/>
              <w:ind w:left="425" w:leftChars="0" w:hanging="425" w:firstLineChars="0"/>
              <w:rPr>
                <w:rFonts w:ascii="宋体" w:hAnsi="宋体" w:cs="宋体"/>
                <w:szCs w:val="21"/>
              </w:rPr>
            </w:pPr>
            <w:r>
              <w:rPr>
                <w:rFonts w:hint="eastAsia" w:ascii="宋体" w:hAnsi="宋体" w:eastAsia="宋体" w:cs="宋体"/>
                <w:szCs w:val="21"/>
              </w:rPr>
              <w:t>组织的职业健康安全绩效、环境绩效</w:t>
            </w:r>
          </w:p>
          <w:p>
            <w:pPr>
              <w:numPr>
                <w:ilvl w:val="0"/>
                <w:numId w:val="0"/>
              </w:numPr>
              <w:spacing w:line="280" w:lineRule="exact"/>
              <w:ind w:leftChars="0"/>
              <w:rPr>
                <w:rFonts w:ascii="宋体" w:hAnsi="宋体" w:cs="宋体"/>
                <w:szCs w:val="21"/>
              </w:rPr>
            </w:pPr>
            <w:r>
              <w:rPr>
                <w:rFonts w:hint="eastAsia" w:ascii="宋体" w:hAnsi="宋体" w:cs="宋体"/>
                <w:szCs w:val="21"/>
                <w:lang w:eastAsia="zh-CN"/>
              </w:rPr>
              <w:t>总裁</w:t>
            </w:r>
            <w:r>
              <w:rPr>
                <w:rFonts w:hint="eastAsia" w:ascii="宋体" w:hAnsi="宋体" w:cs="宋体"/>
                <w:szCs w:val="21"/>
              </w:rPr>
              <w:t>作会议总结。提供管理评审报告。</w:t>
            </w:r>
          </w:p>
          <w:p>
            <w:pPr>
              <w:spacing w:line="280" w:lineRule="exact"/>
              <w:rPr>
                <w:rFonts w:ascii="宋体" w:hAnsi="宋体" w:cs="宋体"/>
                <w:szCs w:val="21"/>
              </w:rPr>
            </w:pPr>
            <w:r>
              <w:rPr>
                <w:rFonts w:hint="eastAsia" w:ascii="宋体" w:hAnsi="宋体" w:cs="宋体"/>
                <w:szCs w:val="21"/>
              </w:rPr>
              <w:t>管理评审结论：通过管理评审的会议召开，各部门负责人一致认为我公司的管理体系通过试运行，能够基本满足标准要求、运行有效、并建立了持续改进的机制，具备申请认证审核的条件。</w:t>
            </w:r>
            <w:r>
              <w:rPr>
                <w:rFonts w:ascii="宋体" w:hAnsi="宋体" w:cs="宋体"/>
                <w:szCs w:val="21"/>
              </w:rPr>
              <w:t>但为了更好的运行体系，特提出以下要求：</w:t>
            </w:r>
            <w:r>
              <w:rPr>
                <w:rFonts w:hint="eastAsia" w:ascii="宋体" w:hAnsi="宋体" w:cs="宋体"/>
                <w:szCs w:val="21"/>
              </w:rPr>
              <w:t>要进一步强化质量、环保、职业健康安全管理体系标准的培训，全员参与提高企业的管理水平。</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cs="宋体"/>
                <w:szCs w:val="21"/>
              </w:rPr>
            </w:pPr>
            <w:r>
              <w:rPr>
                <w:rFonts w:hint="eastAsia" w:ascii="宋体" w:hAnsi="宋体" w:cs="宋体"/>
                <w:szCs w:val="21"/>
                <w:lang w:val="en-US" w:eastAsia="zh-CN"/>
              </w:rPr>
              <w:t xml:space="preserve">改进 </w:t>
            </w:r>
            <w:r>
              <w:rPr>
                <w:rFonts w:hint="eastAsia" w:ascii="宋体" w:hAnsi="宋体" w:cs="宋体"/>
                <w:szCs w:val="21"/>
              </w:rPr>
              <w:t>总则</w:t>
            </w:r>
          </w:p>
          <w:p>
            <w:pPr>
              <w:pStyle w:val="2"/>
              <w:rPr>
                <w:rFonts w:hint="default" w:eastAsia="宋体"/>
                <w:lang w:val="en-US" w:eastAsia="zh-CN"/>
              </w:rPr>
            </w:pPr>
            <w:r>
              <w:rPr>
                <w:rFonts w:hint="eastAsia" w:ascii="宋体" w:hAnsi="宋体" w:cs="宋体"/>
                <w:szCs w:val="21"/>
                <w:lang w:val="en-US" w:eastAsia="zh-CN"/>
              </w:rPr>
              <w:t>事件、不符合和纠正措施</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O 10.1</w:t>
            </w:r>
          </w:p>
          <w:p>
            <w:pPr>
              <w:spacing w:line="280" w:lineRule="exact"/>
              <w:rPr>
                <w:rFonts w:hint="default" w:eastAsia="宋体"/>
                <w:lang w:val="en-US" w:eastAsia="zh-CN"/>
              </w:rPr>
            </w:pPr>
            <w:r>
              <w:rPr>
                <w:rFonts w:hint="eastAsia"/>
                <w:szCs w:val="21"/>
              </w:rPr>
              <w:t>O</w:t>
            </w:r>
            <w:r>
              <w:rPr>
                <w:rFonts w:hint="eastAsia"/>
                <w:lang w:val="en-US" w:eastAsia="zh-CN"/>
              </w:rPr>
              <w:t>10.2</w:t>
            </w: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O10.3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2"/>
              <w:rPr>
                <w:rFonts w:hint="default" w:eastAsia="宋体"/>
                <w:lang w:val="en-US" w:eastAsia="zh-CN"/>
              </w:rPr>
            </w:pPr>
            <w:r>
              <w:rPr>
                <w:rFonts w:hint="eastAsia"/>
                <w:lang w:val="en-US" w:eastAsia="zh-CN"/>
              </w:rPr>
              <w:t>查</w:t>
            </w:r>
            <w:r>
              <w:rPr>
                <w:rFonts w:hint="eastAsia"/>
              </w:rPr>
              <w:t>一阶段问题</w:t>
            </w:r>
            <w:r>
              <w:rPr>
                <w:rFonts w:hint="eastAsia"/>
                <w:lang w:val="en-US" w:eastAsia="zh-CN"/>
              </w:rPr>
              <w:t>已整改</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9340"/>
    <w:multiLevelType w:val="singleLevel"/>
    <w:tmpl w:val="06379340"/>
    <w:lvl w:ilvl="0" w:tentative="0">
      <w:start w:val="1"/>
      <w:numFmt w:val="decimal"/>
      <w:suff w:val="nothing"/>
      <w:lvlText w:val="%1、"/>
      <w:lvlJc w:val="left"/>
    </w:lvl>
  </w:abstractNum>
  <w:abstractNum w:abstractNumId="1">
    <w:nsid w:val="0917BD0B"/>
    <w:multiLevelType w:val="singleLevel"/>
    <w:tmpl w:val="0917BD0B"/>
    <w:lvl w:ilvl="0" w:tentative="0">
      <w:start w:val="1"/>
      <w:numFmt w:val="decimal"/>
      <w:suff w:val="nothing"/>
      <w:lvlText w:val="%1、"/>
      <w:lvlJc w:val="left"/>
    </w:lvl>
  </w:abstractNum>
  <w:abstractNum w:abstractNumId="2">
    <w:nsid w:val="0ED4CE93"/>
    <w:multiLevelType w:val="singleLevel"/>
    <w:tmpl w:val="0ED4CE93"/>
    <w:lvl w:ilvl="0" w:tentative="0">
      <w:start w:val="1"/>
      <w:numFmt w:val="lowerLetter"/>
      <w:lvlText w:val="%1."/>
      <w:lvlJc w:val="left"/>
      <w:pPr>
        <w:ind w:left="425" w:hanging="425"/>
      </w:pPr>
      <w:rPr>
        <w:rFonts w:hint="default"/>
      </w:rPr>
    </w:lvl>
  </w:abstractNum>
  <w:abstractNum w:abstractNumId="3">
    <w:nsid w:val="52F60754"/>
    <w:multiLevelType w:val="singleLevel"/>
    <w:tmpl w:val="52F60754"/>
    <w:lvl w:ilvl="0" w:tentative="0">
      <w:start w:val="1"/>
      <w:numFmt w:val="decimal"/>
      <w:suff w:val="nothing"/>
      <w:lvlText w:val="%1、"/>
      <w:lvlJc w:val="left"/>
    </w:lvl>
  </w:abstractNum>
  <w:abstractNum w:abstractNumId="4">
    <w:nsid w:val="621A606B"/>
    <w:multiLevelType w:val="singleLevel"/>
    <w:tmpl w:val="621A606B"/>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B044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815D28"/>
    <w:rsid w:val="02B84719"/>
    <w:rsid w:val="03640893"/>
    <w:rsid w:val="069E7BAA"/>
    <w:rsid w:val="07E00E5F"/>
    <w:rsid w:val="087032D5"/>
    <w:rsid w:val="08F12EC5"/>
    <w:rsid w:val="09EE4EC2"/>
    <w:rsid w:val="09F832E0"/>
    <w:rsid w:val="0AE65CCB"/>
    <w:rsid w:val="0B250CFE"/>
    <w:rsid w:val="0DB71123"/>
    <w:rsid w:val="0FB77A13"/>
    <w:rsid w:val="102A2CE8"/>
    <w:rsid w:val="108219C2"/>
    <w:rsid w:val="113A015C"/>
    <w:rsid w:val="12CB3340"/>
    <w:rsid w:val="13CE2B6D"/>
    <w:rsid w:val="13D9390E"/>
    <w:rsid w:val="14462253"/>
    <w:rsid w:val="15AB31D4"/>
    <w:rsid w:val="15F0156D"/>
    <w:rsid w:val="170D1054"/>
    <w:rsid w:val="18522B34"/>
    <w:rsid w:val="1AC458AB"/>
    <w:rsid w:val="1B61480E"/>
    <w:rsid w:val="1BD76431"/>
    <w:rsid w:val="1EA66C9A"/>
    <w:rsid w:val="201C35DE"/>
    <w:rsid w:val="24533B56"/>
    <w:rsid w:val="24FE116D"/>
    <w:rsid w:val="256A526F"/>
    <w:rsid w:val="25EB74EE"/>
    <w:rsid w:val="26215433"/>
    <w:rsid w:val="263654B6"/>
    <w:rsid w:val="28491A9D"/>
    <w:rsid w:val="2D807A3F"/>
    <w:rsid w:val="2E4E2574"/>
    <w:rsid w:val="30A27C87"/>
    <w:rsid w:val="312266EE"/>
    <w:rsid w:val="34524295"/>
    <w:rsid w:val="34ED1C2F"/>
    <w:rsid w:val="351279DA"/>
    <w:rsid w:val="39992ABD"/>
    <w:rsid w:val="39A30999"/>
    <w:rsid w:val="3AC8408D"/>
    <w:rsid w:val="3B81186A"/>
    <w:rsid w:val="3D4B5885"/>
    <w:rsid w:val="3DAC16ED"/>
    <w:rsid w:val="3E03163F"/>
    <w:rsid w:val="3E183177"/>
    <w:rsid w:val="41C05420"/>
    <w:rsid w:val="42D724F4"/>
    <w:rsid w:val="44CE10A7"/>
    <w:rsid w:val="49774A1A"/>
    <w:rsid w:val="49BA7E0C"/>
    <w:rsid w:val="4A5F6016"/>
    <w:rsid w:val="4B314636"/>
    <w:rsid w:val="4D2860C7"/>
    <w:rsid w:val="4DE94ACF"/>
    <w:rsid w:val="50AE1FD3"/>
    <w:rsid w:val="52447F1C"/>
    <w:rsid w:val="531A76A7"/>
    <w:rsid w:val="54A958D4"/>
    <w:rsid w:val="5A924C04"/>
    <w:rsid w:val="5B270D40"/>
    <w:rsid w:val="5C9406EC"/>
    <w:rsid w:val="5EA12B9A"/>
    <w:rsid w:val="6147060A"/>
    <w:rsid w:val="61DC0836"/>
    <w:rsid w:val="62F43393"/>
    <w:rsid w:val="63BA084A"/>
    <w:rsid w:val="64CC1516"/>
    <w:rsid w:val="68B5413B"/>
    <w:rsid w:val="68F13388"/>
    <w:rsid w:val="6991333C"/>
    <w:rsid w:val="69992394"/>
    <w:rsid w:val="6A403FC3"/>
    <w:rsid w:val="6CFB6932"/>
    <w:rsid w:val="6D2C467F"/>
    <w:rsid w:val="6E450CE9"/>
    <w:rsid w:val="6E8368C6"/>
    <w:rsid w:val="6EEF7A0A"/>
    <w:rsid w:val="71474E7E"/>
    <w:rsid w:val="72C70F1A"/>
    <w:rsid w:val="74795C7D"/>
    <w:rsid w:val="74821EB4"/>
    <w:rsid w:val="782D7FD1"/>
    <w:rsid w:val="78C76759"/>
    <w:rsid w:val="7AD02CAD"/>
    <w:rsid w:val="7AE8376A"/>
    <w:rsid w:val="7BFB0B28"/>
    <w:rsid w:val="7DCE78D1"/>
    <w:rsid w:val="7DDC5A44"/>
    <w:rsid w:val="7F645C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0</TotalTime>
  <ScaleCrop>false</ScaleCrop>
  <LinksUpToDate>false</LinksUpToDate>
  <CharactersWithSpaces>6282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2021-05-16T00:31:34Z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FB69A21CFF80454A963887FD3561FE16</vt:lpwstr>
  </property>
</Properties>
</file>