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425"/>
        <w:gridCol w:w="4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威海昊阳集团有限责任公司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0407-2021-QEO</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房明</w:t>
            </w:r>
            <w:bookmarkEnd w:id="5"/>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6" w:name="联系人电话"/>
            <w:r>
              <w:rPr>
                <w:sz w:val="21"/>
                <w:szCs w:val="21"/>
              </w:rPr>
              <w:t>18389116105</w:t>
            </w:r>
            <w:bookmarkEnd w:id="6"/>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r>
              <w:rPr>
                <w:sz w:val="21"/>
                <w:szCs w:val="21"/>
              </w:rPr>
              <w:t>haoyang@haoyanggroup.cn</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8" w:name="最高管理者"/>
            <w:bookmarkEnd w:id="8"/>
            <w:r>
              <w:rPr>
                <w:rFonts w:hint="eastAsia"/>
                <w:color w:val="000000"/>
                <w:sz w:val="24"/>
                <w:szCs w:val="24"/>
                <w:lang w:val="en-US" w:eastAsia="zh-CN"/>
              </w:rPr>
              <w:t xml:space="preserve">王锴硕 </w:t>
            </w:r>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9" w:name="联系人传真"/>
            <w:bookmarkEnd w:id="9"/>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bookmarkStart w:id="10" w:name="审核范围"/>
            <w:r>
              <w:t>Q：能源科技、节能环保科技领域内的技术开发</w:t>
            </w:r>
          </w:p>
          <w:p>
            <w:r>
              <w:t>E：能源科技、节能环保科技领域内的技术开发所涉及场所的相关环境管理活动</w:t>
            </w:r>
            <w:bookmarkStart w:id="14" w:name="_GoBack"/>
            <w:bookmarkEnd w:id="14"/>
          </w:p>
          <w:p>
            <w:r>
              <w:t>O：能源科技、节能环保科技领域内的技术开发所涉及场所的相关职业健康安全管理活动</w:t>
            </w:r>
            <w:bookmarkEnd w:id="10"/>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11" w:name="专业代码"/>
            <w:r>
              <w:t>Q：34.06.00</w:t>
            </w:r>
          </w:p>
          <w:p>
            <w:r>
              <w:t>E：34.06.00</w:t>
            </w:r>
          </w:p>
          <w:p>
            <w:r>
              <w:t>O：34.06.00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2" w:name="审核依据"/>
            <w:r>
              <w:rPr>
                <w:rFonts w:hint="eastAsia" w:ascii="宋体" w:hAnsi="宋体"/>
                <w:b/>
                <w:sz w:val="21"/>
                <w:szCs w:val="21"/>
              </w:rPr>
              <w:t>Q：GB/T19001-2016/ISO9001:2015,E：GB/T 24001-2016/ISO14001:2015,O：GB/T45001-2020 / ISO45001：2018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2021年05月07日 上午至2021年05月07日 上午 (共0.5天)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张磊</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r>
              <w:rPr>
                <w:sz w:val="21"/>
                <w:szCs w:val="21"/>
              </w:rPr>
              <w:t>Q:34.06.00</w:t>
            </w:r>
          </w:p>
          <w:p>
            <w:pPr>
              <w:jc w:val="center"/>
              <w:rPr>
                <w:sz w:val="21"/>
                <w:szCs w:val="21"/>
              </w:rPr>
            </w:pPr>
            <w:r>
              <w:rPr>
                <w:sz w:val="21"/>
                <w:szCs w:val="21"/>
              </w:rPr>
              <w:t>E:34.06.00</w:t>
            </w:r>
          </w:p>
          <w:p>
            <w:pPr>
              <w:jc w:val="center"/>
              <w:rPr>
                <w:sz w:val="21"/>
                <w:szCs w:val="21"/>
              </w:rPr>
            </w:pPr>
            <w:r>
              <w:rPr>
                <w:sz w:val="21"/>
                <w:szCs w:val="21"/>
              </w:rPr>
              <w:t>O:34.06.00</w:t>
            </w:r>
          </w:p>
        </w:tc>
        <w:tc>
          <w:tcPr>
            <w:tcW w:w="1559" w:type="dxa"/>
            <w:gridSpan w:val="4"/>
            <w:vAlign w:val="center"/>
          </w:tcPr>
          <w:p>
            <w:pPr>
              <w:jc w:val="center"/>
              <w:rPr>
                <w:sz w:val="21"/>
                <w:szCs w:val="21"/>
              </w:rPr>
            </w:pPr>
            <w:r>
              <w:rPr>
                <w:sz w:val="21"/>
                <w:szCs w:val="21"/>
              </w:rPr>
              <w:t>17621168040</w:t>
            </w:r>
          </w:p>
        </w:tc>
        <w:tc>
          <w:tcPr>
            <w:tcW w:w="1229" w:type="dxa"/>
            <w:vAlign w:val="center"/>
          </w:tcPr>
          <w:p>
            <w:pPr>
              <w:jc w:val="center"/>
              <w:rPr>
                <w:sz w:val="21"/>
                <w:szCs w:val="21"/>
              </w:rPr>
            </w:pPr>
            <w:r>
              <w:rPr>
                <w:sz w:val="21"/>
                <w:szCs w:val="21"/>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温红玲</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tc>
        <w:tc>
          <w:tcPr>
            <w:tcW w:w="3402" w:type="dxa"/>
            <w:gridSpan w:val="4"/>
            <w:vAlign w:val="center"/>
          </w:tcPr>
          <w:p>
            <w:pPr>
              <w:jc w:val="center"/>
              <w:rPr>
                <w:sz w:val="21"/>
                <w:szCs w:val="21"/>
              </w:rPr>
            </w:pPr>
          </w:p>
        </w:tc>
        <w:tc>
          <w:tcPr>
            <w:tcW w:w="1559" w:type="dxa"/>
            <w:gridSpan w:val="4"/>
            <w:vAlign w:val="center"/>
          </w:tcPr>
          <w:p>
            <w:pPr>
              <w:jc w:val="center"/>
              <w:rPr>
                <w:sz w:val="21"/>
                <w:szCs w:val="21"/>
              </w:rPr>
            </w:pPr>
            <w:r>
              <w:rPr>
                <w:sz w:val="21"/>
                <w:szCs w:val="21"/>
              </w:rPr>
              <w:t>13835942286</w:t>
            </w:r>
          </w:p>
        </w:tc>
        <w:tc>
          <w:tcPr>
            <w:tcW w:w="1229" w:type="dxa"/>
            <w:vAlign w:val="center"/>
          </w:tcPr>
          <w:p>
            <w:pPr>
              <w:jc w:val="center"/>
              <w:rPr>
                <w:sz w:val="21"/>
                <w:szCs w:val="21"/>
              </w:rPr>
            </w:pPr>
            <w:r>
              <w:rPr>
                <w:sz w:val="21"/>
                <w:szCs w:val="21"/>
              </w:rPr>
              <w:t>ISC[S]0402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sz w:val="21"/>
                <w:szCs w:val="21"/>
              </w:rPr>
            </w:pP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sz w:val="21"/>
                <w:szCs w:val="21"/>
              </w:rPr>
            </w:pP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sz w:val="21"/>
                <w:szCs w:val="21"/>
              </w:rPr>
            </w:pP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0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9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0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91" w:type="dxa"/>
            <w:vMerge w:val="restart"/>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2021.5.7</w:t>
            </w:r>
          </w:p>
        </w:tc>
        <w:tc>
          <w:tcPr>
            <w:tcW w:w="1309" w:type="dxa"/>
            <w:vAlign w:val="center"/>
          </w:tcPr>
          <w:p>
            <w:pPr>
              <w:snapToGrid w:val="0"/>
              <w:spacing w:line="280" w:lineRule="exact"/>
              <w:jc w:val="center"/>
              <w:rPr>
                <w:rFonts w:hint="eastAsia"/>
                <w:b/>
                <w:sz w:val="20"/>
              </w:rPr>
            </w:pPr>
            <w:r>
              <w:rPr>
                <w:rFonts w:hint="eastAsia"/>
                <w:b/>
                <w:sz w:val="20"/>
                <w:lang w:val="en-US" w:eastAsia="zh-CN"/>
              </w:rPr>
              <w:t>09:00-09:30</w:t>
            </w:r>
          </w:p>
        </w:tc>
        <w:tc>
          <w:tcPr>
            <w:tcW w:w="6781"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首次会议</w:t>
            </w:r>
          </w:p>
        </w:tc>
        <w:tc>
          <w:tcPr>
            <w:tcW w:w="1196" w:type="dxa"/>
            <w:tcBorders>
              <w:right w:val="single" w:color="auto" w:sz="8" w:space="0"/>
            </w:tcBorders>
            <w:vAlign w:val="center"/>
          </w:tcPr>
          <w:p>
            <w:pPr>
              <w:snapToGrid w:val="0"/>
              <w:spacing w:line="280" w:lineRule="exact"/>
              <w:jc w:val="center"/>
              <w:rPr>
                <w:rFonts w:hint="eastAsia"/>
                <w:b/>
                <w:sz w:val="20"/>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91" w:type="dxa"/>
            <w:vMerge w:val="continue"/>
            <w:tcBorders>
              <w:left w:val="single" w:color="auto" w:sz="8" w:space="0"/>
            </w:tcBorders>
            <w:vAlign w:val="center"/>
          </w:tcPr>
          <w:p>
            <w:pPr>
              <w:snapToGrid w:val="0"/>
              <w:spacing w:line="280" w:lineRule="exact"/>
              <w:jc w:val="left"/>
              <w:rPr>
                <w:rFonts w:hint="default" w:eastAsia="宋体"/>
                <w:b/>
                <w:sz w:val="20"/>
                <w:lang w:val="en-US" w:eastAsia="zh-CN"/>
              </w:rPr>
            </w:pPr>
          </w:p>
        </w:tc>
        <w:tc>
          <w:tcPr>
            <w:tcW w:w="1309" w:type="dxa"/>
            <w:vMerge w:val="restart"/>
            <w:vAlign w:val="center"/>
          </w:tcPr>
          <w:p>
            <w:pPr>
              <w:snapToGrid w:val="0"/>
              <w:spacing w:line="280" w:lineRule="exact"/>
              <w:jc w:val="left"/>
              <w:rPr>
                <w:rFonts w:hint="eastAsia"/>
                <w:b/>
                <w:sz w:val="20"/>
                <w:lang w:val="en-US" w:eastAsia="zh-CN"/>
              </w:rPr>
            </w:pPr>
            <w:r>
              <w:rPr>
                <w:rFonts w:hint="eastAsia"/>
                <w:b/>
                <w:sz w:val="20"/>
                <w:lang w:val="en-US" w:eastAsia="zh-CN"/>
              </w:rPr>
              <w:t>09:30-10:30</w:t>
            </w:r>
          </w:p>
          <w:p>
            <w:pPr>
              <w:snapToGrid w:val="0"/>
              <w:spacing w:line="280" w:lineRule="exact"/>
              <w:jc w:val="left"/>
              <w:rPr>
                <w:b/>
                <w:sz w:val="20"/>
              </w:rPr>
            </w:pPr>
          </w:p>
        </w:tc>
        <w:tc>
          <w:tcPr>
            <w:tcW w:w="678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合同基本信息确认:</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核对资质证书（营业执照、生产（安全）许可证、行业许可证、3C证书等）原件和复印件/扫描件的一致性</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确定审核范围的合理性（地址、产品/服务）</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确定多现场和临时现场的地址</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确定有效的员工人数 </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生产、服务的班次</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体系运行时间是否满足3个月</w:t>
            </w:r>
          </w:p>
        </w:tc>
        <w:tc>
          <w:tcPr>
            <w:tcW w:w="1196" w:type="dxa"/>
            <w:vMerge w:val="restart"/>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91" w:type="dxa"/>
            <w:vMerge w:val="continue"/>
            <w:tcBorders>
              <w:left w:val="single" w:color="auto" w:sz="8" w:space="0"/>
            </w:tcBorders>
            <w:vAlign w:val="center"/>
          </w:tcPr>
          <w:p>
            <w:pPr>
              <w:snapToGrid w:val="0"/>
              <w:spacing w:line="280" w:lineRule="exact"/>
              <w:jc w:val="left"/>
              <w:rPr>
                <w:b/>
                <w:sz w:val="20"/>
              </w:rPr>
            </w:pPr>
          </w:p>
        </w:tc>
        <w:tc>
          <w:tcPr>
            <w:tcW w:w="1309" w:type="dxa"/>
            <w:vMerge w:val="continue"/>
            <w:vAlign w:val="center"/>
          </w:tcPr>
          <w:p>
            <w:pPr>
              <w:snapToGrid w:val="0"/>
              <w:spacing w:line="280" w:lineRule="exact"/>
              <w:jc w:val="left"/>
              <w:rPr>
                <w:b/>
                <w:sz w:val="20"/>
              </w:rPr>
            </w:pPr>
          </w:p>
        </w:tc>
        <w:tc>
          <w:tcPr>
            <w:tcW w:w="678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了解企业基本情况：</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组织环境</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主要的相关方和期望 </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风险的识别和评价</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组织机构的设置</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外部提供过程、产品和服务</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被主管部门处罚和曝光情况</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其他机构转入情况（适用时）</w:t>
            </w:r>
          </w:p>
        </w:tc>
        <w:tc>
          <w:tcPr>
            <w:tcW w:w="1196" w:type="dxa"/>
            <w:vMerge w:val="continue"/>
            <w:tcBorders>
              <w:right w:val="single" w:color="auto" w:sz="8" w:space="0"/>
            </w:tcBorders>
            <w:vAlign w:val="center"/>
          </w:tcPr>
          <w:p>
            <w:pPr>
              <w:snapToGrid w:val="0"/>
              <w:spacing w:line="280" w:lineRule="exact"/>
              <w:jc w:val="left"/>
              <w:rPr>
                <w:rFonts w:hint="default" w:eastAsia="宋体"/>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7" w:hRule="atLeast"/>
        </w:trPr>
        <w:tc>
          <w:tcPr>
            <w:tcW w:w="1091" w:type="dxa"/>
            <w:vMerge w:val="continue"/>
            <w:tcBorders>
              <w:left w:val="single" w:color="auto" w:sz="8" w:space="0"/>
            </w:tcBorders>
            <w:vAlign w:val="center"/>
          </w:tcPr>
          <w:p>
            <w:pPr>
              <w:snapToGrid w:val="0"/>
              <w:spacing w:line="280" w:lineRule="exact"/>
              <w:jc w:val="left"/>
              <w:rPr>
                <w:b/>
                <w:sz w:val="20"/>
              </w:rPr>
            </w:pPr>
          </w:p>
        </w:tc>
        <w:tc>
          <w:tcPr>
            <w:tcW w:w="1309" w:type="dxa"/>
            <w:vMerge w:val="continue"/>
            <w:vAlign w:val="center"/>
          </w:tcPr>
          <w:p>
            <w:pPr>
              <w:snapToGrid w:val="0"/>
              <w:spacing w:line="280" w:lineRule="exact"/>
              <w:jc w:val="left"/>
              <w:rPr>
                <w:b/>
                <w:sz w:val="20"/>
              </w:rPr>
            </w:pPr>
          </w:p>
        </w:tc>
        <w:tc>
          <w:tcPr>
            <w:tcW w:w="678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文件化体系策划情况</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管理手册；</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文件化的程序；</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作业文件；</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记录表格</w:t>
            </w:r>
          </w:p>
        </w:tc>
        <w:tc>
          <w:tcPr>
            <w:tcW w:w="1196" w:type="dxa"/>
            <w:vMerge w:val="continue"/>
            <w:tcBorders>
              <w:right w:val="single" w:color="auto" w:sz="8" w:space="0"/>
            </w:tcBorders>
            <w:vAlign w:val="center"/>
          </w:tcPr>
          <w:p>
            <w:pPr>
              <w:snapToGrid w:val="0"/>
              <w:spacing w:line="280" w:lineRule="exact"/>
              <w:jc w:val="left"/>
              <w:rPr>
                <w:rFonts w:hint="default" w:eastAsia="宋体"/>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7" w:hRule="atLeast"/>
        </w:trPr>
        <w:tc>
          <w:tcPr>
            <w:tcW w:w="1091" w:type="dxa"/>
            <w:vMerge w:val="continue"/>
            <w:tcBorders>
              <w:left w:val="single" w:color="auto" w:sz="8" w:space="0"/>
            </w:tcBorders>
            <w:vAlign w:val="center"/>
          </w:tcPr>
          <w:p>
            <w:pPr>
              <w:snapToGrid w:val="0"/>
              <w:spacing w:line="280" w:lineRule="exact"/>
              <w:jc w:val="left"/>
              <w:rPr>
                <w:b/>
                <w:sz w:val="20"/>
              </w:rPr>
            </w:pPr>
          </w:p>
        </w:tc>
        <w:tc>
          <w:tcPr>
            <w:tcW w:w="1309" w:type="dxa"/>
            <w:vMerge w:val="continue"/>
            <w:vAlign w:val="center"/>
          </w:tcPr>
          <w:p>
            <w:pPr>
              <w:snapToGrid w:val="0"/>
              <w:spacing w:line="280" w:lineRule="exact"/>
              <w:jc w:val="left"/>
              <w:rPr>
                <w:b/>
                <w:sz w:val="20"/>
              </w:rPr>
            </w:pPr>
          </w:p>
        </w:tc>
        <w:tc>
          <w:tcPr>
            <w:tcW w:w="678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各管理体系的运行情况：</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管理方针制定与贯彻情况</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管理目标及完成统计</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员工对相关标准的认知和能力（贯标培训、应知应会、持证上岗等）</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相关方/客户的反馈</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内审的策划和实施</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管理体系的评审</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对多场所/临时场所建立的控制的水平（适用时）</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识别二阶段审核的资源配置情况和可行性</w:t>
            </w:r>
          </w:p>
        </w:tc>
        <w:tc>
          <w:tcPr>
            <w:tcW w:w="1196" w:type="dxa"/>
            <w:vMerge w:val="continue"/>
            <w:tcBorders>
              <w:right w:val="single" w:color="auto" w:sz="8" w:space="0"/>
            </w:tcBorders>
            <w:vAlign w:val="center"/>
          </w:tcPr>
          <w:p>
            <w:pPr>
              <w:snapToGrid w:val="0"/>
              <w:spacing w:line="280" w:lineRule="exact"/>
              <w:jc w:val="left"/>
              <w:rPr>
                <w:rFonts w:hint="eastAsia" w:eastAsia="宋体"/>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7" w:hRule="atLeast"/>
        </w:trPr>
        <w:tc>
          <w:tcPr>
            <w:tcW w:w="1091" w:type="dxa"/>
            <w:vMerge w:val="restart"/>
            <w:tcBorders>
              <w:left w:val="single" w:color="auto" w:sz="8" w:space="0"/>
            </w:tcBorders>
            <w:vAlign w:val="center"/>
          </w:tcPr>
          <w:p>
            <w:pPr>
              <w:snapToGrid w:val="0"/>
              <w:spacing w:line="280" w:lineRule="exact"/>
              <w:jc w:val="left"/>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snapToGrid w:val="0"/>
              <w:spacing w:line="280" w:lineRule="exact"/>
              <w:jc w:val="left"/>
              <w:rPr>
                <w:rFonts w:hint="default" w:eastAsia="宋体"/>
                <w:b/>
                <w:sz w:val="20"/>
                <w:highlight w:val="none"/>
                <w:lang w:val="en-US" w:eastAsia="zh-CN"/>
              </w:rPr>
            </w:pPr>
          </w:p>
        </w:tc>
        <w:tc>
          <w:tcPr>
            <w:tcW w:w="1309" w:type="dxa"/>
            <w:vAlign w:val="center"/>
          </w:tcPr>
          <w:p>
            <w:pPr>
              <w:widowControl/>
              <w:numPr>
                <w:ilvl w:val="0"/>
                <w:numId w:val="0"/>
              </w:numPr>
              <w:spacing w:before="40"/>
              <w:jc w:val="left"/>
              <w:rPr>
                <w:rFonts w:hint="eastAsia" w:ascii="宋体" w:hAnsi="宋体" w:eastAsia="宋体" w:cs="宋体"/>
                <w:sz w:val="18"/>
                <w:szCs w:val="18"/>
                <w:lang w:val="en-US" w:eastAsia="zh-CN"/>
              </w:rPr>
            </w:pPr>
            <w:r>
              <w:rPr>
                <w:rFonts w:hint="eastAsia" w:ascii="宋体" w:hAnsi="宋体" w:cs="宋体"/>
                <w:sz w:val="18"/>
                <w:szCs w:val="18"/>
                <w:lang w:val="en-US" w:eastAsia="zh-CN"/>
              </w:rPr>
              <w:t>10</w:t>
            </w:r>
            <w:r>
              <w:rPr>
                <w:rFonts w:hint="eastAsia" w:ascii="宋体" w:hAnsi="宋体" w:eastAsia="宋体" w:cs="宋体"/>
                <w:sz w:val="18"/>
                <w:szCs w:val="18"/>
                <w:lang w:val="en-US" w:eastAsia="zh-CN"/>
              </w:rPr>
              <w:t>:</w:t>
            </w:r>
            <w:r>
              <w:rPr>
                <w:rFonts w:hint="eastAsia" w:ascii="宋体" w:hAnsi="宋体" w:cs="宋体"/>
                <w:sz w:val="18"/>
                <w:szCs w:val="18"/>
                <w:lang w:val="en-US" w:eastAsia="zh-CN"/>
              </w:rPr>
              <w:t>3</w:t>
            </w:r>
            <w:r>
              <w:rPr>
                <w:rFonts w:hint="eastAsia" w:ascii="宋体" w:hAnsi="宋体" w:eastAsia="宋体" w:cs="宋体"/>
                <w:sz w:val="18"/>
                <w:szCs w:val="18"/>
                <w:lang w:val="en-US" w:eastAsia="zh-CN"/>
              </w:rPr>
              <w:t>0-1</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w:t>
            </w:r>
            <w:r>
              <w:rPr>
                <w:rFonts w:hint="eastAsia" w:ascii="宋体" w:hAnsi="宋体" w:cs="宋体"/>
                <w:sz w:val="18"/>
                <w:szCs w:val="18"/>
                <w:lang w:val="en-US" w:eastAsia="zh-CN"/>
              </w:rPr>
              <w:t>3</w:t>
            </w:r>
            <w:r>
              <w:rPr>
                <w:rFonts w:hint="eastAsia" w:ascii="宋体" w:hAnsi="宋体" w:eastAsia="宋体" w:cs="宋体"/>
                <w:sz w:val="18"/>
                <w:szCs w:val="18"/>
                <w:lang w:val="en-US" w:eastAsia="zh-CN"/>
              </w:rPr>
              <w:t>0</w:t>
            </w:r>
          </w:p>
        </w:tc>
        <w:tc>
          <w:tcPr>
            <w:tcW w:w="678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b/>
                <w:bCs/>
                <w:sz w:val="21"/>
                <w:szCs w:val="21"/>
              </w:rPr>
              <w:t>现场巡查</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-巡视生产区域（厂区、车间、库房、实验室等）</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-确认生产/服务流程</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-观察基础设施（生产设备、环保设备、安全装置/手持电动工具等）运行完好</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-观察质量相关的监视和测量设备的种类并了解检定/校准情况</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-观察使用特种设备的种类并了解定期检测和备案登记情况</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-巡视动力设施和辅助设施（污水处理站、锅炉房、高低压配电室、空压站、制冷站、消防中控室、消防泵房、除尘装置、尾气处理、危化品库房、危险废弃物存放处、改建/扩建施工现场、食堂、宿舍、班车等）</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-观察总排口是否存在明显违规现象</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-观察员工劳保用品的佩戴情况</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-了解是否存在室外作业的情况</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-观察工作环境（清洁、消毒、虫害防治等）</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w:t>
            </w:r>
            <w:r>
              <w:rPr>
                <w:rFonts w:hint="eastAsia" w:ascii="宋体" w:hAnsi="宋体" w:eastAsia="宋体" w:cs="宋体"/>
                <w:sz w:val="18"/>
                <w:szCs w:val="18"/>
                <w:lang w:val="en-US" w:eastAsia="zh-CN"/>
              </w:rPr>
              <w:t>依据平面布置图、生产流程图，现场了解现场布局、产品实现过程，确认食品安全控制措施（工艺技术、产品标准）的合理性、实施的有效性。</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w:t>
            </w:r>
            <w:r>
              <w:rPr>
                <w:rFonts w:hint="eastAsia" w:ascii="宋体" w:hAnsi="宋体" w:eastAsia="宋体" w:cs="宋体"/>
                <w:sz w:val="18"/>
                <w:szCs w:val="18"/>
                <w:lang w:val="en-US" w:eastAsia="zh-CN"/>
              </w:rPr>
              <w:t>确认生产和辅助设施配备的充分性，检验设备和检验能力的充分性。</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w:t>
            </w:r>
            <w:r>
              <w:rPr>
                <w:rFonts w:hint="eastAsia" w:ascii="宋体" w:hAnsi="宋体" w:eastAsia="宋体" w:cs="宋体"/>
                <w:sz w:val="18"/>
                <w:szCs w:val="18"/>
                <w:lang w:val="en-US" w:eastAsia="zh-CN"/>
              </w:rPr>
              <w:t>仓库现场。</w:t>
            </w:r>
          </w:p>
          <w:p>
            <w:pPr>
              <w:keepNext w:val="0"/>
              <w:keepLines w:val="0"/>
              <w:pageBreakBefore w:val="0"/>
              <w:widowControl/>
              <w:numPr>
                <w:ilvl w:val="0"/>
                <w:numId w:val="0"/>
              </w:numPr>
              <w:kinsoku/>
              <w:wordWrap/>
              <w:overflowPunct/>
              <w:topLinePunct w:val="0"/>
              <w:autoSpaceDE/>
              <w:autoSpaceDN/>
              <w:bidi w:val="0"/>
              <w:adjustRightInd/>
              <w:snapToGrid/>
              <w:spacing w:before="40" w:line="300" w:lineRule="exact"/>
              <w:ind w:left="278" w:leftChars="0"/>
              <w:jc w:val="left"/>
              <w:textAlignment w:val="auto"/>
              <w:rPr>
                <w:rFonts w:hint="eastAsia"/>
                <w:lang w:val="en-US" w:eastAsia="zh-CN"/>
              </w:rPr>
            </w:pPr>
            <w:r>
              <w:rPr>
                <w:rFonts w:hint="eastAsia" w:ascii="宋体" w:hAnsi="宋体" w:cs="宋体"/>
                <w:sz w:val="18"/>
                <w:szCs w:val="18"/>
                <w:lang w:val="en-US" w:eastAsia="zh-CN"/>
              </w:rPr>
              <w:t>-</w:t>
            </w:r>
            <w:r>
              <w:rPr>
                <w:rFonts w:hint="eastAsia" w:ascii="宋体" w:hAnsi="宋体" w:eastAsia="宋体" w:cs="宋体"/>
                <w:sz w:val="18"/>
                <w:szCs w:val="18"/>
                <w:lang w:val="en-US" w:eastAsia="zh-CN"/>
              </w:rPr>
              <w:t>标识、追溯计划、产品召回</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51" w:hRule="atLeast"/>
        </w:trPr>
        <w:tc>
          <w:tcPr>
            <w:tcW w:w="1091" w:type="dxa"/>
            <w:vMerge w:val="continue"/>
            <w:tcBorders>
              <w:left w:val="single" w:color="auto" w:sz="8" w:space="0"/>
            </w:tcBorders>
            <w:shd w:val="clear" w:color="auto" w:fill="EAF1DD" w:themeFill="accent3" w:themeFillTint="33"/>
            <w:vAlign w:val="center"/>
          </w:tcPr>
          <w:p>
            <w:pPr>
              <w:snapToGrid w:val="0"/>
              <w:spacing w:line="280" w:lineRule="exact"/>
              <w:jc w:val="left"/>
              <w:rPr>
                <w:rFonts w:hint="default" w:eastAsia="宋体"/>
                <w:b/>
                <w:sz w:val="20"/>
                <w:highlight w:val="none"/>
                <w:lang w:val="en-US" w:eastAsia="zh-CN"/>
              </w:rPr>
            </w:pPr>
          </w:p>
        </w:tc>
        <w:tc>
          <w:tcPr>
            <w:tcW w:w="1309" w:type="dxa"/>
            <w:vMerge w:val="restart"/>
            <w:shd w:val="clear" w:color="auto" w:fill="EAF1DD" w:themeFill="accent3" w:themeFillTint="33"/>
            <w:vAlign w:val="center"/>
          </w:tcPr>
          <w:p>
            <w:pPr>
              <w:widowControl/>
              <w:numPr>
                <w:ilvl w:val="0"/>
                <w:numId w:val="0"/>
              </w:numPr>
              <w:spacing w:before="40"/>
              <w:jc w:val="left"/>
              <w:rPr>
                <w:rFonts w:hint="eastAsia" w:ascii="宋体" w:hAnsi="宋体" w:eastAsia="宋体" w:cs="宋体"/>
                <w:sz w:val="18"/>
                <w:szCs w:val="18"/>
                <w:lang w:val="en-US" w:eastAsia="zh-CN"/>
              </w:rPr>
            </w:pPr>
            <w:r>
              <w:rPr>
                <w:rFonts w:hint="eastAsia" w:ascii="宋体" w:hAnsi="宋体" w:cs="宋体"/>
                <w:sz w:val="18"/>
                <w:szCs w:val="18"/>
                <w:lang w:val="en-US" w:eastAsia="zh-CN"/>
              </w:rPr>
              <w:t>11</w:t>
            </w:r>
            <w:r>
              <w:rPr>
                <w:rFonts w:hint="eastAsia" w:ascii="宋体" w:hAnsi="宋体" w:eastAsia="宋体" w:cs="宋体"/>
                <w:sz w:val="18"/>
                <w:szCs w:val="18"/>
                <w:lang w:val="en-US" w:eastAsia="zh-CN"/>
              </w:rPr>
              <w:t>:</w:t>
            </w:r>
            <w:r>
              <w:rPr>
                <w:rFonts w:hint="eastAsia" w:ascii="宋体" w:hAnsi="宋体" w:cs="宋体"/>
                <w:sz w:val="18"/>
                <w:szCs w:val="18"/>
                <w:lang w:val="en-US" w:eastAsia="zh-CN"/>
              </w:rPr>
              <w:t>3</w:t>
            </w:r>
            <w:r>
              <w:rPr>
                <w:rFonts w:hint="eastAsia" w:ascii="宋体" w:hAnsi="宋体" w:eastAsia="宋体" w:cs="宋体"/>
                <w:sz w:val="18"/>
                <w:szCs w:val="18"/>
                <w:lang w:val="en-US" w:eastAsia="zh-CN"/>
              </w:rPr>
              <w:t>0-1</w:t>
            </w:r>
            <w:r>
              <w:rPr>
                <w:rFonts w:hint="eastAsia" w:ascii="宋体" w:hAnsi="宋体" w:cs="宋体"/>
                <w:sz w:val="18"/>
                <w:szCs w:val="18"/>
                <w:lang w:val="en-US" w:eastAsia="zh-CN"/>
              </w:rPr>
              <w:t>2</w:t>
            </w:r>
            <w:r>
              <w:rPr>
                <w:rFonts w:hint="eastAsia" w:ascii="宋体" w:hAnsi="宋体" w:eastAsia="宋体" w:cs="宋体"/>
                <w:sz w:val="18"/>
                <w:szCs w:val="18"/>
                <w:lang w:val="en-US" w:eastAsia="zh-CN"/>
              </w:rPr>
              <w:t>:</w:t>
            </w:r>
            <w:r>
              <w:rPr>
                <w:rFonts w:hint="eastAsia" w:ascii="宋体" w:hAnsi="宋体" w:cs="宋体"/>
                <w:sz w:val="18"/>
                <w:szCs w:val="18"/>
                <w:lang w:val="en-US" w:eastAsia="zh-CN"/>
              </w:rPr>
              <w:t>3</w:t>
            </w:r>
            <w:r>
              <w:rPr>
                <w:rFonts w:hint="eastAsia" w:ascii="宋体" w:hAnsi="宋体" w:eastAsia="宋体" w:cs="宋体"/>
                <w:sz w:val="18"/>
                <w:szCs w:val="18"/>
                <w:lang w:val="en-US" w:eastAsia="zh-CN"/>
              </w:rPr>
              <w:t>0</w:t>
            </w:r>
          </w:p>
        </w:tc>
        <w:tc>
          <w:tcPr>
            <w:tcW w:w="6781" w:type="dxa"/>
            <w:shd w:val="clear" w:color="auto" w:fill="EAF1DD" w:themeFill="accent3" w:themeFillTint="33"/>
            <w:vAlign w:val="center"/>
          </w:tcPr>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QMS运行情况：</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确认不适用条款及合理的理由                   </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了解质量关键控制点</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了解关键过程和需要确认的过程及控制情况；</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了解产品执行的标准或技术要求；</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查看型式检验的证据（报告）</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了解顾客投诉处理</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了解顾客满意度的情况</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确定建设单位的在建项目清单（仅限建工QMS）</w:t>
            </w:r>
          </w:p>
        </w:tc>
        <w:tc>
          <w:tcPr>
            <w:tcW w:w="1196" w:type="dxa"/>
            <w:tcBorders>
              <w:right w:val="single" w:color="auto" w:sz="8" w:space="0"/>
            </w:tcBorders>
            <w:shd w:val="clear" w:color="auto" w:fill="EAF1DD" w:themeFill="accent3" w:themeFillTint="33"/>
            <w:vAlign w:val="center"/>
          </w:tcPr>
          <w:p>
            <w:pPr>
              <w:widowControl/>
              <w:numPr>
                <w:ilvl w:val="0"/>
                <w:numId w:val="0"/>
              </w:numPr>
              <w:spacing w:before="40"/>
              <w:ind w:left="277" w:leftChars="0"/>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trPr>
        <w:tc>
          <w:tcPr>
            <w:tcW w:w="109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09" w:type="dxa"/>
            <w:vMerge w:val="continue"/>
            <w:shd w:val="clear" w:color="auto" w:fill="DAEEF3" w:themeFill="accent5" w:themeFillTint="33"/>
            <w:vAlign w:val="center"/>
          </w:tcPr>
          <w:p>
            <w:pPr>
              <w:widowControl/>
              <w:numPr>
                <w:ilvl w:val="0"/>
                <w:numId w:val="0"/>
              </w:numPr>
              <w:spacing w:before="40"/>
              <w:jc w:val="left"/>
              <w:rPr>
                <w:rFonts w:hint="eastAsia" w:ascii="宋体" w:hAnsi="宋体" w:eastAsia="宋体" w:cs="宋体"/>
                <w:sz w:val="18"/>
                <w:szCs w:val="18"/>
                <w:lang w:val="en-US" w:eastAsia="zh-CN"/>
              </w:rPr>
            </w:pPr>
          </w:p>
        </w:tc>
        <w:tc>
          <w:tcPr>
            <w:tcW w:w="6781" w:type="dxa"/>
            <w:shd w:val="clear" w:color="auto" w:fill="DAEEF3" w:themeFill="accent5" w:themeFillTint="33"/>
            <w:vAlign w:val="center"/>
          </w:tcPr>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EMS运行情况：</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查看地理位置图、污水管网图（适用时）</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了解主要资源和能源使用种类</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查看环境因素的识别和评价程序合理性 </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了解重要环境因素的和控制措施</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了解适用的环境法律和其他要求的获取、识别程序实施情况和合规性评价</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查看合规性证明（98年后新扩建的环评验收、环境监测报告）</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了解危险化学品的种类及MSDS</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了解危险废弃物的处置</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了解消防控制方法（消防备案或消防验收）</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了解应急准备和响应情况</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查看《排污许可证》</w:t>
            </w:r>
          </w:p>
        </w:tc>
        <w:tc>
          <w:tcPr>
            <w:tcW w:w="1196" w:type="dxa"/>
            <w:tcBorders>
              <w:right w:val="single" w:color="auto" w:sz="8" w:space="0"/>
            </w:tcBorders>
            <w:shd w:val="clear" w:color="auto" w:fill="DAEEF3" w:themeFill="accent5" w:themeFillTint="33"/>
            <w:vAlign w:val="center"/>
          </w:tcPr>
          <w:p>
            <w:pPr>
              <w:widowControl/>
              <w:numPr>
                <w:ilvl w:val="0"/>
                <w:numId w:val="0"/>
              </w:numPr>
              <w:spacing w:before="40"/>
              <w:ind w:left="277" w:leftChars="0"/>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96" w:hRule="atLeast"/>
        </w:trPr>
        <w:tc>
          <w:tcPr>
            <w:tcW w:w="109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09" w:type="dxa"/>
            <w:vMerge w:val="continue"/>
            <w:shd w:val="clear" w:color="auto" w:fill="E5DFEC" w:themeFill="accent4" w:themeFillTint="33"/>
            <w:vAlign w:val="center"/>
          </w:tcPr>
          <w:p>
            <w:pPr>
              <w:widowControl/>
              <w:numPr>
                <w:ilvl w:val="0"/>
                <w:numId w:val="0"/>
              </w:numPr>
              <w:spacing w:before="40"/>
              <w:ind w:left="0" w:leftChars="0" w:firstLine="0" w:firstLineChars="0"/>
              <w:jc w:val="left"/>
              <w:rPr>
                <w:rFonts w:hint="eastAsia" w:ascii="宋体" w:hAnsi="宋体" w:eastAsia="宋体" w:cs="宋体"/>
                <w:sz w:val="18"/>
                <w:szCs w:val="18"/>
                <w:lang w:val="en-US" w:eastAsia="zh-CN"/>
              </w:rPr>
            </w:pPr>
          </w:p>
        </w:tc>
        <w:tc>
          <w:tcPr>
            <w:tcW w:w="6781" w:type="dxa"/>
            <w:shd w:val="clear" w:color="auto" w:fill="E5DFEC" w:themeFill="accent4" w:themeFillTint="33"/>
            <w:vAlign w:val="center"/>
          </w:tcPr>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OHSMS运行情况：</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查看危险源的辨识和评价程序合理性</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了解重要危险源的辨识和控制措施 </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了解适用的职业健康安全法律和其他要求的获取、识别程序实施情况和合规性评价 </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查看合规性证明（安全评估、职业病评估、作业场所监测、）</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了解三级安全教育的实施</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了解职业病体检的情况</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了解危险化学品的种类及MSDS</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了解消防控制方法（消防备案或消防验收）</w:t>
            </w:r>
          </w:p>
          <w:p>
            <w:pPr>
              <w:widowControl/>
              <w:numPr>
                <w:ilvl w:val="0"/>
                <w:numId w:val="0"/>
              </w:numPr>
              <w:spacing w:before="40"/>
              <w:ind w:left="277" w:lef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了解应急准备和响应情况 </w:t>
            </w:r>
          </w:p>
        </w:tc>
        <w:tc>
          <w:tcPr>
            <w:tcW w:w="1196" w:type="dxa"/>
            <w:tcBorders>
              <w:right w:val="single" w:color="auto" w:sz="8" w:space="0"/>
            </w:tcBorders>
            <w:shd w:val="clear" w:color="auto" w:fill="E5DFEC" w:themeFill="accent4" w:themeFillTint="33"/>
            <w:vAlign w:val="center"/>
          </w:tcPr>
          <w:p>
            <w:pPr>
              <w:widowControl/>
              <w:numPr>
                <w:ilvl w:val="0"/>
                <w:numId w:val="0"/>
              </w:numPr>
              <w:spacing w:before="40"/>
              <w:ind w:left="277" w:leftChars="0"/>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3" w:hRule="atLeast"/>
        </w:trPr>
        <w:tc>
          <w:tcPr>
            <w:tcW w:w="1091"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20"/>
              </w:rPr>
            </w:pPr>
          </w:p>
        </w:tc>
        <w:tc>
          <w:tcPr>
            <w:tcW w:w="1309" w:type="dxa"/>
            <w:shd w:val="clear" w:color="auto" w:fill="FDE9D9" w:themeFill="accent6" w:themeFillTint="33"/>
            <w:vAlign w:val="center"/>
          </w:tcPr>
          <w:p>
            <w:pPr>
              <w:snapToGrid w:val="0"/>
              <w:spacing w:line="280" w:lineRule="exact"/>
              <w:jc w:val="left"/>
              <w:rPr>
                <w:b/>
                <w:sz w:val="20"/>
              </w:rPr>
            </w:pPr>
            <w:r>
              <w:rPr>
                <w:rFonts w:hint="eastAsia"/>
                <w:b/>
                <w:sz w:val="20"/>
                <w:lang w:val="en-US" w:eastAsia="zh-CN"/>
              </w:rPr>
              <w:t>12:30-13:00</w:t>
            </w:r>
          </w:p>
        </w:tc>
        <w:tc>
          <w:tcPr>
            <w:tcW w:w="6781" w:type="dxa"/>
            <w:shd w:val="clear" w:color="auto" w:fill="FDE9D9" w:themeFill="accent6" w:themeFillTint="33"/>
            <w:vAlign w:val="center"/>
          </w:tcPr>
          <w:p>
            <w:pPr>
              <w:widowControl/>
              <w:numPr>
                <w:ilvl w:val="0"/>
                <w:numId w:val="0"/>
              </w:numPr>
              <w:spacing w:before="40"/>
              <w:ind w:left="0" w:leftChars="0" w:firstLine="0" w:firstLineChars="0"/>
              <w:jc w:val="left"/>
              <w:rPr>
                <w:rFonts w:hint="eastAsia"/>
                <w:sz w:val="21"/>
                <w:szCs w:val="21"/>
              </w:rPr>
            </w:pPr>
            <w:r>
              <w:rPr>
                <w:rFonts w:hint="eastAsia"/>
                <w:sz w:val="21"/>
                <w:szCs w:val="21"/>
                <w:lang w:val="en-US" w:eastAsia="zh-CN"/>
              </w:rPr>
              <w:t>末次会议</w:t>
            </w:r>
          </w:p>
        </w:tc>
        <w:tc>
          <w:tcPr>
            <w:tcW w:w="1196" w:type="dxa"/>
            <w:tcBorders>
              <w:right w:val="single" w:color="auto" w:sz="8" w:space="0"/>
            </w:tcBorders>
            <w:shd w:val="clear" w:color="auto" w:fill="FDE9D9" w:themeFill="accent6" w:themeFillTint="33"/>
            <w:vAlign w:val="center"/>
          </w:tcPr>
          <w:p>
            <w:pPr>
              <w:snapToGrid w:val="0"/>
              <w:spacing w:line="280" w:lineRule="exact"/>
              <w:jc w:val="left"/>
              <w:rPr>
                <w:rFonts w:hint="eastAsia"/>
                <w:b/>
                <w:sz w:val="20"/>
                <w:lang w:val="en-US" w:eastAsia="zh-CN"/>
              </w:rPr>
            </w:pPr>
            <w:r>
              <w:rPr>
                <w:rFonts w:hint="eastAsia"/>
                <w:b/>
                <w:sz w:val="20"/>
                <w:lang w:val="en-US" w:eastAsia="zh-CN"/>
              </w:rPr>
              <w:t>ABC</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0E2BDF"/>
    <w:rsid w:val="27133224"/>
    <w:rsid w:val="355D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2</TotalTime>
  <ScaleCrop>false</ScaleCrop>
  <LinksUpToDate>false</LinksUpToDate>
  <CharactersWithSpaces>1267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张磊</cp:lastModifiedBy>
  <cp:lastPrinted>2019-03-27T03:10:00Z</cp:lastPrinted>
  <dcterms:modified xsi:type="dcterms:W3CDTF">2021-05-07T03:21:12Z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D32B316815FE4F9AB55E87222249A2F1</vt:lpwstr>
  </property>
</Properties>
</file>