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100330</wp:posOffset>
            </wp:positionV>
            <wp:extent cx="6580505" cy="9310370"/>
            <wp:effectExtent l="0" t="0" r="10795" b="11430"/>
            <wp:wrapNone/>
            <wp:docPr id="2" name="图片 2" descr="扫描全能王 2021-05-31 10.5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31 10.55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湖北三民装备科技有限公司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十堰市张湾区工业新区捷达路16号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18872068336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1556264310@qq.com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铁路机车零部件（特殊资质要求除外）的生产及销售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2021年05月30日 上午至2021年05月31日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13581379911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8:00-8:30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0-12:00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:00-1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宋体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部门职责权限、目标、产品和服务的要求、外部提供的产品服务、顾客和外部供方财产、顾客满意等管理体系运行过程控制；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7：00-12：00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生产技术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13：00-15：00</w:t>
            </w:r>
          </w:p>
        </w:tc>
        <w:tc>
          <w:tcPr>
            <w:tcW w:w="708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补充审核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84EFA"/>
    <w:rsid w:val="0DD02584"/>
    <w:rsid w:val="340F6BBA"/>
    <w:rsid w:val="5448286D"/>
    <w:rsid w:val="630B7DEA"/>
    <w:rsid w:val="70B8036B"/>
    <w:rsid w:val="7F290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2021-05-31T03:09:30Z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633591CC9D784F26ADE94A330F05CF6A</vt:lpwstr>
  </property>
</Properties>
</file>