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0290-2021-Q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湖北三民装备科技有限公司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郭力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陈俊</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22.04.00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湖北三民装备科技有限公司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十堰市张湾区工业新区捷达路16号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442100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十堰市张湾区工业新区捷达路16号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442100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沈霞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18872068336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熊斌</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沈霞</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1556264310@qq.com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铁路机车零部件（特殊资质要求除外）的生产及销售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22.04.00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部门：办公室、生产技术部、销售部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产品：铁路机车零部件（特殊资质要求除外）的生产及销售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公司部门设置：办公室、生产技术部、销售部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客户的场所：十堰市张湾区工业新区捷达路16号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受审核方位于：十堰市张湾区工业新区捷达路16号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w:t>
            </w:r>
            <w:r>
              <w:rPr>
                <w:rFonts w:hint="eastAsia" w:ascii="宋体" w:hAnsi="宋体"/>
                <w:color w:val="auto"/>
                <w:spacing w:val="-10"/>
                <w:sz w:val="20"/>
                <w:szCs w:val="20"/>
              </w:rPr>
              <w:t>准号：铁路机车、车辆用铸造轴承合金锭技术条件TB 1443-1983、机械加工工艺装备基本术语GB/T 1008-2008、技术产品文件 机械加工定位、夹紧符号表示法GB/T 24740-2009、金属切削机床 机械加工件通用技术条件GB/T 25376-2010、机械加工工艺参数表示法JB/T 12392-2015、机械加工工艺方法图形符号JB/T 12393-2015、机械加工定位、夹紧符号JB/T 5061-2006等□合同：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原材料采购--机械加工--打磨---检验--出库-客户交付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z w:val="20"/>
                <w:szCs w:val="20"/>
              </w:rPr>
            </w:pPr>
            <w:r>
              <w:rPr>
                <w:rFonts w:hint="eastAsia" w:ascii="宋体" w:hAnsi="宋体"/>
                <w:color w:val="000000"/>
                <w:sz w:val="20"/>
                <w:szCs w:val="20"/>
              </w:rPr>
              <w:t>关键过程有：</w:t>
            </w:r>
            <w:r>
              <w:rPr>
                <w:rFonts w:hint="eastAsia" w:ascii="宋体"/>
                <w:color w:val="000000"/>
                <w:sz w:val="20"/>
                <w:szCs w:val="20"/>
              </w:rPr>
              <w:t>精加工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外包过程有：</w:t>
            </w:r>
            <w:r>
              <w:rPr>
                <w:rFonts w:hint="eastAsia" w:ascii="宋体" w:hAnsi="宋体"/>
                <w:color w:val="000000"/>
                <w:sz w:val="20"/>
                <w:szCs w:val="20"/>
                <w:lang w:val="en-US" w:eastAsia="zh-CN"/>
              </w:rPr>
              <w:t>表面处理、热处理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hint="eastAsia" w:ascii="宋体" w:eastAsia="宋体"/>
                <w:color w:val="000000"/>
                <w:spacing w:val="-10"/>
                <w:sz w:val="20"/>
                <w:szCs w:val="20"/>
                <w:lang w:eastAsia="zh-CN"/>
              </w:rPr>
            </w:pPr>
            <w:r>
              <w:rPr>
                <w:rFonts w:hint="eastAsia" w:ascii="宋体" w:hAnsi="宋体"/>
                <w:color w:val="000000"/>
                <w:spacing w:val="-10"/>
                <w:sz w:val="20"/>
                <w:szCs w:val="20"/>
              </w:rPr>
              <w:t>主要设备：</w:t>
            </w:r>
            <w:r>
              <w:rPr>
                <w:rFonts w:hint="eastAsia" w:ascii="宋体" w:hAnsi="宋体" w:eastAsia="宋体" w:cs="宋体"/>
                <w:color w:val="auto"/>
                <w:sz w:val="21"/>
                <w:szCs w:val="21"/>
              </w:rPr>
              <w:t>加工中心、卧式铣床、立式钻床、数控车床、摇臂钻床、卧式加工中心、平面磨床、立式铣床、角磨机、精密切割机、装配平台等</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w:t>
            </w:r>
            <w:r>
              <w:rPr>
                <w:rFonts w:hint="eastAsia" w:ascii="宋体" w:hAnsi="宋体"/>
                <w:color w:val="000000"/>
                <w:sz w:val="20"/>
                <w:szCs w:val="20"/>
                <w:lang w:val="en-US" w:eastAsia="zh-CN"/>
              </w:rPr>
              <w:t>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vAlign w:val="top"/>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color w:val="auto"/>
                <w:sz w:val="20"/>
                <w:szCs w:val="20"/>
              </w:rPr>
              <w:t>：</w:t>
            </w:r>
            <w:r>
              <w:rPr>
                <w:rFonts w:hint="eastAsia" w:ascii="宋体"/>
                <w:color w:val="auto"/>
                <w:sz w:val="20"/>
                <w:szCs w:val="20"/>
                <w:lang w:val="en-US" w:eastAsia="zh-CN"/>
              </w:rPr>
              <w:t>千分尺、百分表、游标卡尺等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vAlign w:val="top"/>
          </w:tcPr>
          <w:p>
            <w:pPr>
              <w:rPr>
                <w:rFonts w:ascii="宋体"/>
                <w:color w:val="000000"/>
                <w:sz w:val="20"/>
                <w:szCs w:val="20"/>
              </w:rPr>
            </w:pP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重点审核部门：生产技术部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办公室</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生产过程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360" w:lineRule="auto"/>
              <w:rPr>
                <w:rFonts w:hint="eastAsia" w:ascii="宋体" w:hAnsi="宋体"/>
                <w:b w:val="0"/>
                <w:bCs/>
                <w:color w:val="000000"/>
                <w:sz w:val="21"/>
                <w:szCs w:val="21"/>
              </w:rPr>
            </w:pPr>
            <w:r>
              <w:rPr>
                <w:rFonts w:hint="eastAsia" w:ascii="宋体" w:hAnsi="宋体"/>
                <w:b/>
                <w:color w:val="000000"/>
                <w:sz w:val="21"/>
                <w:szCs w:val="21"/>
              </w:rPr>
              <w:t>了解内审的策划</w:t>
            </w:r>
            <w:r>
              <w:rPr>
                <w:rFonts w:ascii="宋体" w:hAnsi="宋体"/>
                <w:b/>
                <w:color w:val="000000"/>
                <w:sz w:val="21"/>
                <w:szCs w:val="21"/>
              </w:rPr>
              <w:t>;</w:t>
            </w:r>
            <w:r>
              <w:rPr>
                <w:rFonts w:ascii="宋体" w:hAnsi="宋体"/>
                <w:b w:val="0"/>
                <w:bCs/>
                <w:color w:val="000000"/>
                <w:sz w:val="21"/>
                <w:szCs w:val="21"/>
              </w:rPr>
              <w:t xml:space="preserve"> </w:t>
            </w:r>
            <w:r>
              <w:rPr>
                <w:rFonts w:hint="eastAsia" w:ascii="宋体" w:hAnsi="宋体"/>
                <w:b w:val="0"/>
                <w:bCs/>
                <w:color w:val="000000"/>
                <w:sz w:val="21"/>
                <w:szCs w:val="21"/>
              </w:rPr>
              <w:t>建立有《内部质量体系审核程序》</w:t>
            </w:r>
          </w:p>
          <w:p>
            <w:pPr>
              <w:spacing w:line="360" w:lineRule="auto"/>
              <w:rPr>
                <w:rFonts w:hint="eastAsia" w:ascii="宋体" w:hAnsi="宋体"/>
                <w:b w:val="0"/>
                <w:bCs/>
                <w:color w:val="000000"/>
                <w:sz w:val="21"/>
                <w:szCs w:val="21"/>
              </w:rPr>
            </w:pPr>
            <w:r>
              <w:rPr>
                <w:rFonts w:hint="eastAsia" w:ascii="宋体" w:hAnsi="宋体"/>
                <w:b w:val="0"/>
                <w:bCs/>
                <w:color w:val="000000"/>
                <w:sz w:val="21"/>
                <w:szCs w:val="21"/>
              </w:rPr>
              <w:t>见有《内部审核计划表》</w:t>
            </w:r>
          </w:p>
          <w:p>
            <w:pPr>
              <w:spacing w:line="360" w:lineRule="auto"/>
              <w:rPr>
                <w:rFonts w:hint="eastAsia" w:ascii="宋体" w:hAnsi="宋体" w:eastAsia="宋体" w:cs="Times New Roman"/>
                <w:b w:val="0"/>
                <w:bCs/>
                <w:color w:val="000000"/>
                <w:sz w:val="21"/>
                <w:szCs w:val="21"/>
              </w:rPr>
            </w:pPr>
            <w:r>
              <w:rPr>
                <w:rFonts w:hint="eastAsia" w:ascii="宋体" w:hAnsi="宋体"/>
                <w:b w:val="0"/>
                <w:bCs/>
                <w:color w:val="000000"/>
                <w:sz w:val="21"/>
                <w:szCs w:val="21"/>
              </w:rPr>
              <w:t>内审时间</w:t>
            </w:r>
            <w:r>
              <w:rPr>
                <w:rFonts w:hint="eastAsia" w:ascii="宋体" w:hAnsi="宋体" w:eastAsia="宋体" w:cs="Times New Roman"/>
                <w:b w:val="0"/>
                <w:bCs/>
                <w:color w:val="000000"/>
                <w:sz w:val="21"/>
                <w:szCs w:val="21"/>
              </w:rPr>
              <w:t>：20</w:t>
            </w:r>
            <w:r>
              <w:rPr>
                <w:rFonts w:hint="eastAsia" w:ascii="宋体" w:hAnsi="宋体" w:eastAsia="宋体" w:cs="Times New Roman"/>
                <w:b w:val="0"/>
                <w:bCs/>
                <w:color w:val="000000"/>
                <w:sz w:val="21"/>
                <w:szCs w:val="21"/>
                <w:lang w:val="en-US" w:eastAsia="zh-CN"/>
              </w:rPr>
              <w:t>20</w:t>
            </w:r>
            <w:r>
              <w:rPr>
                <w:rFonts w:hint="eastAsia" w:ascii="宋体" w:hAnsi="宋体" w:eastAsia="宋体" w:cs="Times New Roman"/>
                <w:b w:val="0"/>
                <w:bCs/>
                <w:color w:val="000000"/>
                <w:sz w:val="21"/>
                <w:szCs w:val="21"/>
              </w:rPr>
              <w:t>年</w:t>
            </w:r>
            <w:r>
              <w:rPr>
                <w:rFonts w:hint="eastAsia" w:ascii="宋体" w:hAnsi="宋体" w:eastAsia="宋体" w:cs="Times New Roman"/>
                <w:b w:val="0"/>
                <w:bCs/>
                <w:color w:val="000000"/>
                <w:sz w:val="21"/>
                <w:szCs w:val="21"/>
                <w:lang w:val="en-US" w:eastAsia="zh-CN"/>
              </w:rPr>
              <w:t>12</w:t>
            </w:r>
            <w:r>
              <w:rPr>
                <w:rFonts w:hint="eastAsia" w:ascii="宋体" w:hAnsi="宋体" w:eastAsia="宋体" w:cs="Times New Roman"/>
                <w:b w:val="0"/>
                <w:bCs/>
                <w:color w:val="000000"/>
                <w:sz w:val="21"/>
                <w:szCs w:val="21"/>
              </w:rPr>
              <w:t>月</w:t>
            </w:r>
            <w:r>
              <w:rPr>
                <w:rFonts w:hint="eastAsia" w:ascii="宋体" w:hAnsi="宋体" w:eastAsia="宋体" w:cs="Times New Roman"/>
                <w:b w:val="0"/>
                <w:bCs/>
                <w:color w:val="000000"/>
                <w:sz w:val="21"/>
                <w:szCs w:val="21"/>
                <w:lang w:val="en-US" w:eastAsia="zh-CN"/>
              </w:rPr>
              <w:t>15</w:t>
            </w:r>
            <w:r>
              <w:rPr>
                <w:rFonts w:hint="eastAsia" w:ascii="宋体" w:hAnsi="宋体" w:eastAsia="宋体" w:cs="Times New Roman"/>
                <w:b w:val="0"/>
                <w:bCs/>
                <w:color w:val="000000"/>
                <w:sz w:val="21"/>
                <w:szCs w:val="21"/>
              </w:rPr>
              <w:t xml:space="preserve">日       </w:t>
            </w:r>
          </w:p>
          <w:p>
            <w:pPr>
              <w:spacing w:line="360" w:lineRule="auto"/>
              <w:rPr>
                <w:rFonts w:ascii="宋体"/>
                <w:b/>
                <w:color w:val="000000"/>
                <w:sz w:val="20"/>
                <w:szCs w:val="20"/>
              </w:rPr>
            </w:pPr>
            <w:r>
              <w:rPr>
                <w:rFonts w:hint="eastAsia" w:ascii="宋体" w:hAnsi="宋体" w:eastAsia="宋体" w:cs="Times New Roman"/>
                <w:b w:val="0"/>
                <w:bCs/>
                <w:color w:val="000000"/>
                <w:sz w:val="21"/>
                <w:szCs w:val="21"/>
              </w:rPr>
              <w:t>内审组：</w:t>
            </w:r>
            <w:r>
              <w:rPr>
                <w:rFonts w:hint="eastAsia" w:ascii="宋体" w:hAnsi="宋体" w:eastAsia="宋体" w:cs="宋体"/>
                <w:sz w:val="21"/>
                <w:szCs w:val="21"/>
              </w:rPr>
              <w:t>组长：陈健    组员：熊毅</w:t>
            </w:r>
            <w:r>
              <w:rPr>
                <w:rFonts w:hint="eastAsia" w:ascii="宋体" w:hAnsi="宋体" w:eastAsia="宋体" w:cs="Times New Roman"/>
                <w:b w:val="0"/>
                <w:bCs/>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hAnsi="宋体"/>
                <w:b w:val="0"/>
                <w:bCs/>
                <w:color w:val="000000"/>
                <w:sz w:val="21"/>
                <w:szCs w:val="21"/>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val="0"/>
                <w:bCs/>
                <w:color w:val="000000"/>
                <w:sz w:val="21"/>
                <w:szCs w:val="21"/>
              </w:rPr>
              <w:t>是</w:t>
            </w:r>
          </w:p>
          <w:p>
            <w:pPr>
              <w:spacing w:line="360" w:lineRule="auto"/>
              <w:rPr>
                <w:rFonts w:hint="eastAsia" w:ascii="宋体" w:hAnsi="宋体"/>
                <w:b w:val="0"/>
                <w:bCs/>
                <w:color w:val="000000"/>
                <w:sz w:val="21"/>
                <w:szCs w:val="21"/>
              </w:rPr>
            </w:pPr>
            <w:r>
              <w:rPr>
                <w:rFonts w:hint="eastAsia" w:ascii="宋体" w:hAnsi="宋体"/>
                <w:b w:val="0"/>
                <w:bCs/>
                <w:color w:val="000000"/>
                <w:sz w:val="21"/>
                <w:szCs w:val="21"/>
              </w:rPr>
              <w:t>审核范围:管理体系涉及的公司所有部门、生产车间及活动场所。</w:t>
            </w:r>
          </w:p>
          <w:p>
            <w:pPr>
              <w:spacing w:line="360" w:lineRule="auto"/>
              <w:rPr>
                <w:rFonts w:ascii="宋体"/>
                <w:b/>
                <w:color w:val="000000"/>
                <w:sz w:val="20"/>
                <w:szCs w:val="20"/>
              </w:rPr>
            </w:pPr>
            <w:r>
              <w:rPr>
                <w:rFonts w:hint="eastAsia" w:ascii="宋体" w:hAnsi="宋体"/>
                <w:b w:val="0"/>
                <w:bCs/>
                <w:color w:val="000000"/>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hAnsi="宋体"/>
                <w:b/>
                <w:color w:val="000000"/>
                <w:sz w:val="20"/>
                <w:szCs w:val="20"/>
              </w:rPr>
            </w:pPr>
            <w:r>
              <w:rPr>
                <w:rFonts w:hint="eastAsia" w:ascii="宋体" w:hAnsi="宋体"/>
                <w:b/>
                <w:color w:val="000000"/>
                <w:sz w:val="20"/>
                <w:szCs w:val="20"/>
              </w:rPr>
              <w:t>了解内审结论是什么？</w:t>
            </w:r>
          </w:p>
          <w:p>
            <w:pPr>
              <w:spacing w:line="360" w:lineRule="auto"/>
              <w:rPr>
                <w:rFonts w:ascii="宋体"/>
                <w:b/>
                <w:color w:val="000000"/>
                <w:sz w:val="20"/>
                <w:szCs w:val="20"/>
              </w:rPr>
            </w:pPr>
            <w:r>
              <w:rPr>
                <w:rFonts w:hint="eastAsia" w:ascii="宋体" w:hAnsi="宋体"/>
                <w:b w:val="0"/>
                <w:bCs/>
                <w:color w:val="000000"/>
                <w:sz w:val="20"/>
                <w:szCs w:val="20"/>
              </w:rPr>
              <w:t>本次内审对GB/T 19001:2016标准体系文件管理手册、体系文件进行了全面检查，通过审核可以看出管理体系已基本进入了正常状态，但仍存在一些问题，需要完善现场作业及加强各类人员的培训。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360" w:lineRule="auto"/>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360" w:lineRule="auto"/>
              <w:rPr>
                <w:rFonts w:ascii="宋体"/>
                <w:b/>
                <w:color w:val="000000"/>
                <w:sz w:val="20"/>
                <w:szCs w:val="20"/>
              </w:rPr>
            </w:pPr>
            <w:r>
              <w:rPr>
                <w:rFonts w:hint="eastAsia"/>
                <w:szCs w:val="21"/>
              </w:rPr>
              <w:t>建立有《管理评审控制程序》，于</w:t>
            </w:r>
            <w:r>
              <w:rPr>
                <w:rFonts w:hint="eastAsia" w:ascii="宋体" w:hAnsi="宋体"/>
                <w:kern w:val="0"/>
                <w:sz w:val="21"/>
                <w:szCs w:val="21"/>
                <w:lang w:eastAsia="zh-CN"/>
              </w:rPr>
              <w:t>20</w:t>
            </w:r>
            <w:r>
              <w:rPr>
                <w:rFonts w:hint="eastAsia" w:ascii="宋体" w:hAnsi="宋体"/>
                <w:kern w:val="0"/>
                <w:sz w:val="21"/>
                <w:szCs w:val="21"/>
                <w:lang w:val="en-US" w:eastAsia="zh-CN"/>
              </w:rPr>
              <w:t>20</w:t>
            </w:r>
            <w:r>
              <w:rPr>
                <w:rFonts w:hint="eastAsia" w:ascii="宋体" w:hAnsi="宋体"/>
                <w:kern w:val="0"/>
                <w:sz w:val="21"/>
                <w:szCs w:val="21"/>
                <w:lang w:eastAsia="zh-CN"/>
              </w:rPr>
              <w:t>年</w:t>
            </w:r>
            <w:r>
              <w:rPr>
                <w:rFonts w:hint="eastAsia" w:ascii="宋体" w:hAnsi="宋体"/>
                <w:kern w:val="0"/>
                <w:sz w:val="21"/>
                <w:szCs w:val="21"/>
                <w:lang w:val="en-US" w:eastAsia="zh-CN"/>
              </w:rPr>
              <w:t>12</w:t>
            </w:r>
            <w:r>
              <w:rPr>
                <w:rFonts w:hint="eastAsia" w:ascii="宋体" w:hAnsi="宋体"/>
                <w:kern w:val="0"/>
                <w:sz w:val="21"/>
                <w:szCs w:val="21"/>
                <w:lang w:eastAsia="zh-CN"/>
              </w:rPr>
              <w:t>月</w:t>
            </w:r>
            <w:r>
              <w:rPr>
                <w:rFonts w:hint="eastAsia" w:ascii="宋体" w:hAnsi="宋体"/>
                <w:kern w:val="0"/>
                <w:sz w:val="21"/>
                <w:szCs w:val="21"/>
                <w:lang w:val="en-US" w:eastAsia="zh-CN"/>
              </w:rPr>
              <w:t>22</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360" w:lineRule="auto"/>
              <w:rPr>
                <w:rFonts w:hint="eastAsia" w:eastAsia="宋体"/>
                <w:lang w:val="en-US" w:eastAsia="zh-CN"/>
              </w:rPr>
            </w:pPr>
            <w:r>
              <w:rPr>
                <w:rFonts w:hint="eastAsia"/>
                <w:b/>
                <w:bCs/>
              </w:rPr>
              <w:t>了解管理评审输入是否充分</w:t>
            </w:r>
            <w:r>
              <w:t xml:space="preserve">; </w:t>
            </w:r>
            <w:r>
              <w:rPr>
                <w:rFonts w:hint="eastAsia"/>
                <w:lang w:val="en-US" w:eastAsia="zh-CN"/>
              </w:rPr>
              <w:t>是</w:t>
            </w:r>
          </w:p>
          <w:p>
            <w:pPr>
              <w:pStyle w:val="2"/>
              <w:spacing w:line="360" w:lineRule="auto"/>
              <w:rPr>
                <w:rFonts w:ascii="宋体"/>
                <w:b/>
                <w:color w:val="000000"/>
                <w:sz w:val="20"/>
                <w:szCs w:val="20"/>
              </w:rPr>
            </w:pPr>
            <w:r>
              <w:rPr>
                <w:rFonts w:hint="eastAsia" w:ascii="Times New Roman" w:hAnsi="Times New Roman" w:eastAsia="宋体" w:cs="Times New Roman"/>
                <w:kern w:val="2"/>
                <w:sz w:val="21"/>
                <w:szCs w:val="21"/>
                <w:lang w:val="en-US" w:eastAsia="zh-CN" w:bidi="ar-SA"/>
              </w:rPr>
              <w:t>提供主要输入材料有：各部门总结、质量体系运行报告，输入信息基本充分和满足要求。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vAlign w:val="top"/>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范围无变化见初定的管理体系认证范围：铁路机车零部件（特殊资质要求除外）的生产及销售</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1" w:firstLineChars="100"/>
        <w:rPr>
          <w:rFonts w:ascii="宋体"/>
          <w:b/>
          <w:bCs/>
          <w:color w:val="000000"/>
          <w:sz w:val="26"/>
          <w:szCs w:val="26"/>
        </w:rPr>
      </w:pPr>
      <w:r>
        <w:rPr>
          <w:rFonts w:hint="eastAsia" w:ascii="宋体" w:hAnsi="宋体" w:eastAsia="宋体"/>
          <w:b/>
          <w:color w:val="000000"/>
          <w:lang w:eastAsia="zh-CN"/>
        </w:rPr>
        <w:drawing>
          <wp:anchor distT="0" distB="0" distL="114300" distR="114300" simplePos="0" relativeHeight="251659264" behindDoc="0" locked="0" layoutInCell="1" allowOverlap="1">
            <wp:simplePos x="0" y="0"/>
            <wp:positionH relativeFrom="column">
              <wp:posOffset>1729740</wp:posOffset>
            </wp:positionH>
            <wp:positionV relativeFrom="paragraph">
              <wp:posOffset>283210</wp:posOffset>
            </wp:positionV>
            <wp:extent cx="553085" cy="45910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553085" cy="45910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hAnsi="宋体" w:eastAsia="宋体"/>
          <w:b/>
          <w:color w:val="000000"/>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bookmarkStart w:id="24" w:name="_GoBack"/>
      <w:bookmarkEnd w:id="24"/>
    </w:p>
    <w:p>
      <w:pPr>
        <w:pStyle w:val="2"/>
      </w:pPr>
      <w:r>
        <w:rPr>
          <w:rFonts w:hint="eastAsia" w:ascii="宋体" w:eastAsia="宋体"/>
          <w:b/>
          <w:color w:val="auto"/>
          <w:lang w:eastAsia="zh-CN"/>
        </w:rPr>
        <w:drawing>
          <wp:anchor distT="0" distB="0" distL="114300" distR="114300" simplePos="0" relativeHeight="251660288" behindDoc="0" locked="0" layoutInCell="1" allowOverlap="1">
            <wp:simplePos x="0" y="0"/>
            <wp:positionH relativeFrom="column">
              <wp:posOffset>1771015</wp:posOffset>
            </wp:positionH>
            <wp:positionV relativeFrom="paragraph">
              <wp:posOffset>281940</wp:posOffset>
            </wp:positionV>
            <wp:extent cx="654050" cy="365125"/>
            <wp:effectExtent l="0" t="0" r="6350" b="3175"/>
            <wp:wrapNone/>
            <wp:docPr id="3" name="图片 3" descr="1622537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2537770(1)"/>
                    <pic:cNvPicPr>
                      <a:picLocks noChangeAspect="1"/>
                    </pic:cNvPicPr>
                  </pic:nvPicPr>
                  <pic:blipFill>
                    <a:blip r:embed="rId7"/>
                    <a:stretch>
                      <a:fillRect/>
                    </a:stretch>
                  </pic:blipFill>
                  <pic:spPr>
                    <a:xfrm>
                      <a:off x="0" y="0"/>
                      <a:ext cx="654050" cy="365125"/>
                    </a:xfrm>
                    <a:prstGeom prst="rect">
                      <a:avLst/>
                    </a:prstGeom>
                  </pic:spPr>
                </pic:pic>
              </a:graphicData>
            </a:graphic>
          </wp:anchor>
        </w:drawing>
      </w:r>
    </w:p>
    <w:p>
      <w:pPr>
        <w:spacing w:line="400" w:lineRule="exact"/>
        <w:ind w:firstLine="843" w:firstLineChars="400"/>
        <w:rPr>
          <w:rFonts w:hint="eastAsia" w:ascii="宋体" w:eastAsia="宋体"/>
          <w:b/>
          <w:color w:val="auto"/>
          <w:lang w:eastAsia="zh-CN"/>
        </w:rPr>
      </w:pPr>
      <w:r>
        <w:rPr>
          <w:rFonts w:hint="eastAsia" w:ascii="宋体" w:hAnsi="宋体"/>
          <w:b/>
          <w:color w:val="auto"/>
        </w:rPr>
        <w:t>审核组组员</w:t>
      </w:r>
      <w:r>
        <w:rPr>
          <w:rFonts w:ascii="宋体" w:hAnsi="宋体"/>
          <w:b/>
          <w:color w:val="auto"/>
        </w:rPr>
        <w:t>(</w:t>
      </w:r>
      <w:r>
        <w:rPr>
          <w:rFonts w:hint="eastAsia" w:ascii="宋体" w:hAnsi="宋体"/>
          <w:b/>
          <w:color w:val="auto"/>
        </w:rPr>
        <w:t>签名</w:t>
      </w:r>
      <w:r>
        <w:rPr>
          <w:rFonts w:ascii="宋体" w:hAnsi="宋体"/>
          <w:b/>
          <w:color w:val="auto"/>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2021.5.29</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D14582"/>
    <w:rsid w:val="10BF1A0C"/>
    <w:rsid w:val="121D543E"/>
    <w:rsid w:val="13A079C9"/>
    <w:rsid w:val="237B47BF"/>
    <w:rsid w:val="23C3651E"/>
    <w:rsid w:val="2B0429BE"/>
    <w:rsid w:val="5CA47626"/>
    <w:rsid w:val="5DC26FE6"/>
    <w:rsid w:val="66AC33D2"/>
    <w:rsid w:val="6C0A371F"/>
    <w:rsid w:val="71DC390F"/>
    <w:rsid w:val="7FE14034"/>
    <w:rsid w:val="7FEA1C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2021-06-01T08:56:31Z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FD731D8FA13A4858919AEB883E442475</vt:lpwstr>
  </property>
</Properties>
</file>