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400" w:firstLineChars="1500"/>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安全环保处       </w:t>
            </w:r>
            <w:r>
              <w:rPr>
                <w:rFonts w:hint="eastAsia"/>
                <w:sz w:val="24"/>
                <w:szCs w:val="24"/>
              </w:rPr>
              <w:t>主管领导：</w:t>
            </w:r>
            <w:r>
              <w:rPr>
                <w:rFonts w:hint="eastAsia"/>
                <w:sz w:val="24"/>
                <w:szCs w:val="24"/>
                <w:lang w:val="en-US" w:eastAsia="zh-CN"/>
              </w:rPr>
              <w:t xml:space="preserve">李佳琪       </w:t>
            </w:r>
            <w:r>
              <w:rPr>
                <w:rFonts w:hint="eastAsia"/>
                <w:sz w:val="24"/>
                <w:szCs w:val="24"/>
              </w:rPr>
              <w:t>陪同人员：</w:t>
            </w:r>
            <w:r>
              <w:rPr>
                <w:rFonts w:hint="eastAsia"/>
                <w:sz w:val="24"/>
                <w:szCs w:val="24"/>
                <w:lang w:val="en-US" w:eastAsia="zh-CN"/>
              </w:rPr>
              <w:t>陈海川</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ascii="宋体" w:hAnsi="宋体" w:eastAsia="宋体" w:cs="宋体"/>
                <w:lang w:val="en-US" w:eastAsia="zh-CN"/>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 xml:space="preserve"> 李京田           </w:t>
            </w:r>
            <w:r>
              <w:rPr>
                <w:rFonts w:hint="eastAsia" w:ascii="宋体" w:hAnsi="宋体" w:eastAsia="宋体" w:cs="宋体"/>
                <w:sz w:val="24"/>
                <w:szCs w:val="24"/>
              </w:rPr>
              <w:t>审核时间：</w:t>
            </w:r>
            <w:r>
              <w:rPr>
                <w:rFonts w:hint="eastAsia" w:ascii="宋体" w:hAnsi="宋体" w:eastAsia="宋体" w:cs="宋体"/>
                <w:sz w:val="24"/>
                <w:szCs w:val="24"/>
                <w:lang w:val="en-US" w:eastAsia="zh-CN"/>
              </w:rPr>
              <w:t>2021.5.12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审核条款：</w:t>
            </w:r>
            <w:r>
              <w:rPr>
                <w:rFonts w:hint="eastAsia" w:ascii="宋体" w:hAnsi="宋体" w:eastAsia="宋体" w:cs="宋体"/>
                <w:szCs w:val="22"/>
                <w:lang w:val="en-US" w:eastAsia="zh-CN"/>
              </w:rPr>
              <w:t xml:space="preserve">5.3/6.2/8.1/9.1.1/10.1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职责履行情况；</w:t>
            </w:r>
            <w:r>
              <w:rPr>
                <w:rFonts w:hint="eastAsia" w:cs="Times New Roman"/>
                <w:sz w:val="21"/>
                <w:szCs w:val="21"/>
                <w:lang w:val="en-US" w:eastAsia="zh-CN"/>
              </w:rPr>
              <w:t>员工协商和参与</w:t>
            </w:r>
          </w:p>
        </w:tc>
        <w:tc>
          <w:tcPr>
            <w:tcW w:w="960" w:type="dxa"/>
          </w:tcPr>
          <w:p>
            <w:pPr>
              <w:rPr>
                <w:rFonts w:hint="default" w:eastAsia="宋体"/>
                <w:b/>
                <w:bCs/>
                <w:sz w:val="21"/>
                <w:szCs w:val="21"/>
                <w:lang w:val="en-US" w:eastAsia="zh-CN"/>
              </w:rPr>
            </w:pPr>
            <w:r>
              <w:rPr>
                <w:rFonts w:hint="eastAsia"/>
                <w:b/>
                <w:bCs/>
                <w:sz w:val="21"/>
                <w:szCs w:val="21"/>
                <w:lang w:val="en-US" w:eastAsia="zh-CN"/>
              </w:rPr>
              <w:t>5.3</w:t>
            </w:r>
          </w:p>
        </w:tc>
        <w:tc>
          <w:tcPr>
            <w:tcW w:w="10004" w:type="dxa"/>
          </w:tcPr>
          <w:p>
            <w:pPr>
              <w:rPr>
                <w:rFonts w:hint="default"/>
                <w:szCs w:val="22"/>
                <w:lang w:val="en-US" w:eastAsia="zh-CN"/>
              </w:rPr>
            </w:pPr>
            <w:r>
              <w:rPr>
                <w:rFonts w:hint="eastAsia"/>
                <w:szCs w:val="22"/>
                <w:lang w:val="en-US" w:eastAsia="zh-CN"/>
              </w:rPr>
              <w:t>处长：</w:t>
            </w:r>
            <w:r>
              <w:rPr>
                <w:rFonts w:hint="eastAsia"/>
                <w:sz w:val="24"/>
                <w:szCs w:val="24"/>
                <w:lang w:val="en-US" w:eastAsia="zh-CN"/>
              </w:rPr>
              <w:t>李佳琪</w:t>
            </w:r>
            <w:r>
              <w:rPr>
                <w:rFonts w:hint="eastAsia"/>
                <w:szCs w:val="22"/>
                <w:lang w:val="en-US" w:eastAsia="zh-CN"/>
              </w:rPr>
              <w:t>介绍</w:t>
            </w:r>
          </w:p>
          <w:p>
            <w:pPr>
              <w:widowControl/>
              <w:snapToGrid w:val="0"/>
              <w:spacing w:line="300" w:lineRule="auto"/>
              <w:ind w:firstLine="360" w:firstLineChars="150"/>
              <w:jc w:val="left"/>
              <w:rPr>
                <w:rFonts w:hint="eastAsia"/>
                <w:sz w:val="24"/>
              </w:rPr>
            </w:pPr>
            <w:r>
              <w:rPr>
                <w:rFonts w:hint="eastAsia"/>
                <w:sz w:val="24"/>
              </w:rPr>
              <w:t>（</w:t>
            </w:r>
            <w:r>
              <w:rPr>
                <w:rFonts w:hint="eastAsia"/>
                <w:sz w:val="24"/>
                <w:lang w:val="en-US" w:eastAsia="zh-CN"/>
              </w:rPr>
              <w:t>1</w:t>
            </w:r>
            <w:r>
              <w:rPr>
                <w:rFonts w:hint="eastAsia"/>
                <w:sz w:val="24"/>
              </w:rPr>
              <w:t>）负责安全应急预案的编制和落实工作。</w:t>
            </w:r>
          </w:p>
          <w:p>
            <w:pPr>
              <w:widowControl/>
              <w:snapToGrid w:val="0"/>
              <w:spacing w:line="300" w:lineRule="auto"/>
              <w:ind w:firstLine="360" w:firstLineChars="150"/>
              <w:jc w:val="left"/>
              <w:rPr>
                <w:rFonts w:hint="eastAsia"/>
                <w:sz w:val="24"/>
                <w:lang w:val="en-US" w:eastAsia="zh-CN"/>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lang w:val="en-US" w:eastAsia="zh-CN"/>
              </w:rPr>
              <w:t>负责现场安全管理。</w:t>
            </w:r>
          </w:p>
          <w:p>
            <w:pPr>
              <w:widowControl/>
              <w:snapToGrid w:val="0"/>
              <w:spacing w:line="300" w:lineRule="auto"/>
              <w:ind w:firstLine="360" w:firstLineChars="150"/>
              <w:jc w:val="left"/>
              <w:rPr>
                <w:rFonts w:hint="default"/>
                <w:sz w:val="24"/>
                <w:lang w:val="en-US" w:eastAsia="zh-CN"/>
              </w:rPr>
            </w:pPr>
            <w:r>
              <w:rPr>
                <w:rFonts w:hint="eastAsia"/>
                <w:sz w:val="24"/>
                <w:lang w:val="en-US" w:eastAsia="zh-CN"/>
              </w:rPr>
              <w:t>（3）负责消防管理、道路交通安全管理。</w:t>
            </w:r>
          </w:p>
          <w:p>
            <w:pPr>
              <w:widowControl/>
              <w:snapToGrid w:val="0"/>
              <w:spacing w:line="300" w:lineRule="auto"/>
              <w:ind w:firstLine="360" w:firstLineChars="150"/>
              <w:jc w:val="left"/>
              <w:rPr>
                <w:rFonts w:hint="eastAsia"/>
                <w:sz w:val="24"/>
              </w:rPr>
            </w:pPr>
            <w:r>
              <w:rPr>
                <w:rFonts w:hint="eastAsia"/>
                <w:sz w:val="24"/>
              </w:rPr>
              <w:t>（</w:t>
            </w:r>
            <w:r>
              <w:rPr>
                <w:rFonts w:hint="eastAsia"/>
                <w:sz w:val="24"/>
                <w:lang w:val="en-US" w:eastAsia="zh-CN"/>
              </w:rPr>
              <w:t>4</w:t>
            </w:r>
            <w:r>
              <w:rPr>
                <w:rFonts w:hint="eastAsia"/>
                <w:sz w:val="24"/>
              </w:rPr>
              <w:t>）负责公司工作环境</w:t>
            </w:r>
            <w:r>
              <w:rPr>
                <w:rFonts w:hint="eastAsia"/>
                <w:sz w:val="24"/>
                <w:lang w:eastAsia="zh-CN"/>
              </w:rPr>
              <w:t>、</w:t>
            </w:r>
            <w:r>
              <w:rPr>
                <w:rFonts w:hint="eastAsia"/>
                <w:sz w:val="24"/>
              </w:rPr>
              <w:t>职业健康安全</w:t>
            </w:r>
            <w:r>
              <w:rPr>
                <w:rFonts w:hint="eastAsia"/>
                <w:sz w:val="24"/>
                <w:lang w:eastAsia="zh-CN"/>
              </w:rPr>
              <w:t>、</w:t>
            </w:r>
            <w:r>
              <w:rPr>
                <w:rFonts w:hint="eastAsia"/>
                <w:sz w:val="24"/>
                <w:lang w:val="en-US" w:eastAsia="zh-CN"/>
              </w:rPr>
              <w:t>环境保护建设</w:t>
            </w:r>
            <w:r>
              <w:rPr>
                <w:rFonts w:hint="eastAsia"/>
                <w:sz w:val="24"/>
              </w:rPr>
              <w:t>。</w:t>
            </w:r>
          </w:p>
          <w:p>
            <w:pPr>
              <w:widowControl/>
              <w:snapToGrid w:val="0"/>
              <w:spacing w:line="300" w:lineRule="auto"/>
              <w:ind w:firstLine="360" w:firstLineChars="150"/>
              <w:jc w:val="left"/>
              <w:rPr>
                <w:rFonts w:hint="eastAsia"/>
                <w:sz w:val="24"/>
                <w:lang w:val="en-US" w:eastAsia="zh-CN"/>
              </w:rPr>
            </w:pPr>
            <w:r>
              <w:rPr>
                <w:rFonts w:hint="eastAsia"/>
                <w:sz w:val="24"/>
                <w:lang w:eastAsia="zh-CN"/>
              </w:rPr>
              <w:t>（</w:t>
            </w:r>
            <w:r>
              <w:rPr>
                <w:rFonts w:hint="eastAsia"/>
                <w:sz w:val="24"/>
                <w:lang w:val="en-US" w:eastAsia="zh-CN"/>
              </w:rPr>
              <w:t>5</w:t>
            </w:r>
            <w:r>
              <w:rPr>
                <w:rFonts w:hint="eastAsia"/>
                <w:sz w:val="24"/>
                <w:lang w:eastAsia="zh-CN"/>
              </w:rPr>
              <w:t>）</w:t>
            </w:r>
            <w:r>
              <w:rPr>
                <w:rFonts w:hint="eastAsia"/>
                <w:sz w:val="24"/>
                <w:lang w:val="en-US" w:eastAsia="zh-CN"/>
              </w:rPr>
              <w:t>负责环境安全培训工作。</w:t>
            </w:r>
          </w:p>
          <w:p>
            <w:pPr>
              <w:widowControl/>
              <w:snapToGrid w:val="0"/>
              <w:spacing w:line="300" w:lineRule="auto"/>
              <w:ind w:firstLine="360" w:firstLineChars="150"/>
              <w:jc w:val="left"/>
              <w:rPr>
                <w:rFonts w:hint="default"/>
                <w:sz w:val="24"/>
                <w:lang w:val="en-US" w:eastAsia="zh-CN"/>
              </w:rPr>
            </w:pPr>
            <w:r>
              <w:rPr>
                <w:rFonts w:hint="eastAsia"/>
                <w:sz w:val="24"/>
                <w:lang w:val="en-US" w:eastAsia="zh-CN"/>
              </w:rPr>
              <w:t>（6）辅助生产技术部进行节能管理工作。</w:t>
            </w:r>
          </w:p>
          <w:p>
            <w:pPr>
              <w:rPr>
                <w:rFonts w:hint="default" w:ascii="宋体" w:hAnsi="宋体" w:cs="宋体"/>
                <w:color w:val="000000"/>
                <w:kern w:val="0"/>
                <w:sz w:val="19"/>
                <w:szCs w:val="19"/>
                <w:highlight w:val="yellow"/>
                <w:lang w:val="en-US" w:eastAsia="zh-CN" w:bidi="ar"/>
              </w:rPr>
            </w:pPr>
            <w:r>
              <w:rPr>
                <w:rFonts w:hint="eastAsia"/>
                <w:sz w:val="21"/>
                <w:szCs w:val="21"/>
                <w:lang w:val="en-US" w:eastAsia="zh-CN"/>
              </w:rPr>
              <w:t>与李佳琪沟通，其职责回答正确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60" w:type="dxa"/>
          </w:tcPr>
          <w:p>
            <w:pPr>
              <w:spacing w:line="280" w:lineRule="exact"/>
              <w:rPr>
                <w:rFonts w:hint="eastAsia" w:ascii="宋体" w:hAnsi="宋体" w:cs="宋体"/>
                <w:szCs w:val="21"/>
                <w:lang w:val="en-US" w:eastAsia="zh-CN"/>
              </w:rPr>
            </w:pPr>
            <w:r>
              <w:rPr>
                <w:rFonts w:hint="eastAsia" w:ascii="宋体" w:hAnsi="宋体" w:cs="宋体"/>
                <w:szCs w:val="21"/>
              </w:rPr>
              <w:t>目标、能源指标及其实现的策划</w:t>
            </w:r>
          </w:p>
        </w:tc>
        <w:tc>
          <w:tcPr>
            <w:tcW w:w="960" w:type="dxa"/>
          </w:tcPr>
          <w:p>
            <w:pPr>
              <w:spacing w:line="280" w:lineRule="exact"/>
              <w:rPr>
                <w:rFonts w:hint="eastAsia" w:ascii="宋体" w:hAnsi="宋体" w:cs="宋体"/>
                <w:szCs w:val="21"/>
                <w:lang w:val="en-US" w:eastAsia="zh-CN"/>
              </w:rPr>
            </w:pP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2</w:t>
            </w:r>
          </w:p>
        </w:tc>
        <w:tc>
          <w:tcPr>
            <w:tcW w:w="10004" w:type="dxa"/>
          </w:tcPr>
          <w:p>
            <w:pP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编制了文件</w:t>
            </w:r>
            <w:r>
              <w:rPr>
                <w:rFonts w:hint="eastAsia" w:ascii="宋体" w:hAnsi="宋体" w:eastAsia="宋体" w:cs="宋体"/>
                <w:sz w:val="24"/>
                <w:szCs w:val="24"/>
                <w:lang w:val="en-US" w:eastAsia="zh-CN"/>
              </w:rPr>
              <w:t>化的《能源目标、指标、方案》；</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本部门执</w:t>
            </w:r>
            <w:r>
              <w:rPr>
                <w:rFonts w:hint="eastAsia" w:ascii="宋体" w:hAnsi="宋体" w:eastAsia="宋体" w:cs="宋体"/>
                <w:sz w:val="24"/>
                <w:szCs w:val="24"/>
                <w:u w:val="single"/>
                <w:lang w:val="en-US" w:eastAsia="zh-CN"/>
              </w:rPr>
              <w:t>行公司的能源总目标指</w:t>
            </w:r>
            <w:r>
              <w:rPr>
                <w:rFonts w:hint="eastAsia" w:ascii="宋体" w:hAnsi="宋体" w:eastAsia="宋体" w:cs="宋体"/>
                <w:sz w:val="24"/>
                <w:szCs w:val="24"/>
                <w:lang w:val="en-US" w:eastAsia="zh-CN"/>
              </w:rPr>
              <w:t>标</w:t>
            </w:r>
            <w:r>
              <w:rPr>
                <w:rFonts w:hint="eastAsia" w:ascii="宋体" w:hAnsi="宋体" w:cs="宋体"/>
                <w:sz w:val="24"/>
                <w:szCs w:val="24"/>
                <w:lang w:val="en-US" w:eastAsia="zh-CN"/>
              </w:rPr>
              <w:t>：</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日常办公巡查注意节水节电、避免不必要的浪费；</w:t>
            </w:r>
          </w:p>
          <w:p>
            <w:pPr>
              <w:rPr>
                <w:rFonts w:hint="default"/>
                <w:color w:val="0000FF"/>
                <w:lang w:val="en-US" w:eastAsia="zh-CN"/>
              </w:rPr>
            </w:pPr>
            <w:r>
              <w:rPr>
                <w:rFonts w:hint="eastAsia" w:ascii="宋体" w:hAnsi="宋体" w:eastAsia="宋体" w:cs="宋体"/>
                <w:sz w:val="24"/>
                <w:szCs w:val="24"/>
                <w:lang w:val="en-US" w:eastAsia="zh-CN"/>
              </w:rPr>
              <w:t>查2020年目标指标已经达标、符合规定；</w:t>
            </w:r>
          </w:p>
        </w:tc>
        <w:tc>
          <w:tcPr>
            <w:tcW w:w="1585"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2160" w:type="dxa"/>
            <w:vAlign w:val="top"/>
          </w:tcPr>
          <w:p>
            <w:pPr>
              <w:spacing w:line="280" w:lineRule="exact"/>
              <w:jc w:val="left"/>
              <w:rPr>
                <w:rFonts w:hint="eastAsia" w:ascii="宋体" w:hAnsi="宋体" w:cs="宋体"/>
                <w:szCs w:val="21"/>
              </w:rPr>
            </w:pPr>
            <w:r>
              <w:rPr>
                <w:rFonts w:hint="eastAsia" w:ascii="宋体" w:hAnsi="宋体" w:cs="宋体"/>
                <w:szCs w:val="21"/>
              </w:rPr>
              <w:t>运行策划和控制</w:t>
            </w:r>
          </w:p>
          <w:p>
            <w:pPr>
              <w:spacing w:line="280" w:lineRule="exact"/>
              <w:jc w:val="left"/>
              <w:rPr>
                <w:rFonts w:hint="eastAsia" w:ascii="宋体" w:hAnsi="宋体" w:cs="宋体" w:eastAsiaTheme="minorEastAsia"/>
                <w:kern w:val="2"/>
                <w:sz w:val="21"/>
                <w:szCs w:val="21"/>
                <w:lang w:val="en-US" w:eastAsia="zh-CN" w:bidi="ar-SA"/>
              </w:rPr>
            </w:pPr>
            <w:r>
              <w:rPr>
                <w:rFonts w:hint="eastAsia" w:ascii="宋体" w:hAnsi="宋体"/>
                <w:color w:val="000000"/>
                <w:kern w:val="0"/>
                <w:sz w:val="24"/>
              </w:rPr>
              <w:t>能源绩效和能源管理体系的监视、测量、分析和评价</w:t>
            </w:r>
          </w:p>
        </w:tc>
        <w:tc>
          <w:tcPr>
            <w:tcW w:w="960" w:type="dxa"/>
            <w:vAlign w:val="top"/>
          </w:tcPr>
          <w:p>
            <w:pPr>
              <w:spacing w:line="280" w:lineRule="exact"/>
              <w:jc w:val="left"/>
              <w:rPr>
                <w:rFonts w:ascii="宋体" w:hAnsi="宋体" w:cs="宋体"/>
                <w:color w:val="000000"/>
                <w:szCs w:val="21"/>
              </w:rPr>
            </w:pPr>
            <w:r>
              <w:rPr>
                <w:rFonts w:ascii="宋体" w:hAnsi="宋体" w:cs="宋体"/>
                <w:color w:val="000000"/>
                <w:szCs w:val="21"/>
              </w:rPr>
              <w:t>8.1</w:t>
            </w:r>
          </w:p>
          <w:p>
            <w:pPr>
              <w:spacing w:line="280" w:lineRule="exact"/>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9.1</w:t>
            </w:r>
          </w:p>
        </w:tc>
        <w:tc>
          <w:tcPr>
            <w:tcW w:w="10004" w:type="dxa"/>
            <w:vAlign w:val="center"/>
          </w:tcPr>
          <w:p>
            <w:pPr>
              <w:rPr>
                <w:rFonts w:ascii="宋体" w:cs="宋体"/>
                <w:szCs w:val="21"/>
              </w:rPr>
            </w:pPr>
            <w:r>
              <w:rPr>
                <w:rFonts w:hint="eastAsia" w:ascii="宋体" w:hAnsi="宋体" w:cs="宋体"/>
                <w:szCs w:val="21"/>
              </w:rPr>
              <w:t>查《监视和测量控制程序》规定的监测项目包括</w:t>
            </w:r>
            <w:r>
              <w:rPr>
                <w:rFonts w:ascii="宋体" w:hAnsi="宋体" w:cs="宋体"/>
                <w:szCs w:val="21"/>
              </w:rPr>
              <w:t xml:space="preserve"> </w:t>
            </w:r>
            <w:r>
              <w:rPr>
                <w:rFonts w:hint="eastAsia" w:ascii="宋体" w:hAnsi="宋体" w:cs="宋体"/>
                <w:szCs w:val="21"/>
              </w:rPr>
              <w:t>：行动方案在实现目标和能源指标方面的有效性；能源绩效参数</w:t>
            </w:r>
            <w:r>
              <w:rPr>
                <w:rFonts w:ascii="宋体" w:hAnsi="宋体" w:cs="宋体"/>
                <w:szCs w:val="21"/>
              </w:rPr>
              <w:t>EnPI</w:t>
            </w:r>
            <w:r>
              <w:rPr>
                <w:rFonts w:hint="eastAsia" w:ascii="宋体" w:hAnsi="宋体" w:cs="宋体"/>
                <w:szCs w:val="21"/>
              </w:rPr>
              <w:t>（</w:t>
            </w:r>
            <w:r>
              <w:rPr>
                <w:rFonts w:ascii="宋体" w:hAnsi="宋体" w:cs="宋体"/>
                <w:szCs w:val="21"/>
              </w:rPr>
              <w:t>S</w:t>
            </w:r>
            <w:r>
              <w:rPr>
                <w:rFonts w:hint="eastAsia" w:ascii="宋体" w:hAnsi="宋体" w:cs="宋体"/>
                <w:szCs w:val="21"/>
              </w:rPr>
              <w:t>）；主要能源使用（</w:t>
            </w:r>
            <w:r>
              <w:rPr>
                <w:rFonts w:ascii="宋体" w:hAnsi="宋体" w:cs="宋体"/>
                <w:szCs w:val="21"/>
              </w:rPr>
              <w:t>SEUs</w:t>
            </w:r>
            <w:r>
              <w:rPr>
                <w:rFonts w:hint="eastAsia" w:ascii="宋体" w:hAnsi="宋体" w:cs="宋体"/>
                <w:szCs w:val="21"/>
              </w:rPr>
              <w:t>）的运行；实际能耗与预期能耗的对比评价；确定了：每年每月监视测量</w:t>
            </w:r>
            <w:r>
              <w:rPr>
                <w:rFonts w:ascii="宋体" w:hAnsi="宋体" w:cs="宋体"/>
                <w:szCs w:val="21"/>
              </w:rPr>
              <w:t>1</w:t>
            </w:r>
            <w:r>
              <w:rPr>
                <w:rFonts w:hint="eastAsia" w:ascii="宋体" w:hAnsi="宋体" w:cs="宋体"/>
                <w:szCs w:val="21"/>
              </w:rPr>
              <w:t>次并分析和评价监视和测量的结果以评价其能源绩效和能源管理体系的有效性；</w:t>
            </w:r>
          </w:p>
          <w:p>
            <w:pPr>
              <w:ind w:firstLine="210" w:firstLineChars="100"/>
              <w:rPr>
                <w:rFonts w:ascii="宋体" w:cs="宋体"/>
                <w:szCs w:val="21"/>
              </w:rPr>
            </w:pPr>
            <w:r>
              <w:rPr>
                <w:rFonts w:ascii="宋体" w:hAnsi="宋体" w:cs="宋体"/>
                <w:szCs w:val="21"/>
              </w:rPr>
              <w:t xml:space="preserve"> </w:t>
            </w:r>
          </w:p>
          <w:p>
            <w:pPr>
              <w:spacing w:line="280" w:lineRule="exact"/>
              <w:rPr>
                <w:rFonts w:hint="default" w:ascii="宋体" w:hAnsi="宋体" w:cs="宋体" w:eastAsiaTheme="minorEastAsia"/>
                <w:kern w:val="2"/>
                <w:sz w:val="21"/>
                <w:szCs w:val="21"/>
                <w:lang w:val="en-US" w:eastAsia="zh-CN" w:bidi="ar-SA"/>
              </w:rPr>
            </w:pPr>
            <w:r>
              <w:rPr>
                <w:rFonts w:hint="eastAsia" w:ascii="宋体" w:hAnsi="宋体" w:cs="宋体"/>
                <w:sz w:val="21"/>
                <w:szCs w:val="21"/>
              </w:rPr>
              <w:t>提供《日常能源巡查表》（月查）包括“办公用水、电、空调”等设施设备的防止跑冒滴漏检查、有责任确认信息、日期范围</w:t>
            </w:r>
            <w:r>
              <w:rPr>
                <w:rFonts w:ascii="宋体" w:hAnsi="宋体" w:cs="宋体"/>
                <w:sz w:val="21"/>
                <w:szCs w:val="21"/>
              </w:rPr>
              <w:t>2020.5.~2020.12</w:t>
            </w:r>
            <w:r>
              <w:rPr>
                <w:rFonts w:hint="eastAsia" w:ascii="宋体" w:hAnsi="宋体" w:cs="宋体"/>
                <w:sz w:val="21"/>
                <w:szCs w:val="21"/>
              </w:rPr>
              <w:t>、结果“合格”；</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color w:val="000000"/>
                <w:kern w:val="0"/>
                <w:sz w:val="24"/>
              </w:rPr>
            </w:pPr>
            <w:r>
              <w:rPr>
                <w:rFonts w:hint="eastAsia" w:ascii="宋体" w:hAnsi="宋体" w:eastAsia="宋体" w:cs="宋体"/>
                <w:sz w:val="24"/>
                <w:szCs w:val="24"/>
              </w:rPr>
              <w:t>不符合和纠正措施</w:t>
            </w:r>
          </w:p>
        </w:tc>
        <w:tc>
          <w:tcPr>
            <w:tcW w:w="960"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w:t>
            </w:r>
          </w:p>
          <w:p>
            <w:pPr>
              <w:rPr>
                <w:rFonts w:hint="eastAsia" w:ascii="宋体" w:hAnsi="宋体" w:cs="宋体"/>
                <w:color w:val="000000"/>
                <w:szCs w:val="21"/>
                <w:lang w:val="en-US" w:eastAsia="zh-CN"/>
              </w:rPr>
            </w:pPr>
          </w:p>
        </w:tc>
        <w:tc>
          <w:tcPr>
            <w:tcW w:w="10004" w:type="dxa"/>
            <w:vAlign w:val="top"/>
          </w:tcPr>
          <w:p>
            <w:pPr>
              <w:rPr>
                <w:rFonts w:hint="eastAsia" w:ascii="宋体" w:hAnsi="宋体" w:cs="宋体"/>
                <w:sz w:val="21"/>
                <w:szCs w:val="21"/>
              </w:rPr>
            </w:pPr>
            <w:r>
              <w:rPr>
                <w:rFonts w:hint="eastAsia" w:ascii="宋体" w:hAnsi="宋体" w:eastAsia="宋体" w:cs="宋体"/>
                <w:color w:val="auto"/>
                <w:sz w:val="24"/>
                <w:szCs w:val="24"/>
                <w:lang w:val="en-US" w:eastAsia="zh-CN"/>
              </w:rPr>
              <w:t>编制了《纠正措施和预防措施通知单》包括“不符合采取措施控制并纠正；任何纠正措施的结果、不符合的原因 性质和采取的任何后续措施；确定是否存在或是否可能发生类似的不符合；实施任何所需的措施；评审所采取的任何纠正措施的有效性；必要时，对能源管理体系进行变更改”等内容；</w:t>
            </w:r>
            <w:bookmarkStart w:id="0" w:name="_GoBack"/>
            <w:bookmarkEnd w:id="0"/>
          </w:p>
        </w:tc>
        <w:tc>
          <w:tcPr>
            <w:tcW w:w="1585" w:type="dxa"/>
          </w:tcPr>
          <w:p/>
        </w:tc>
      </w:tr>
    </w:tbl>
    <w:p>
      <w:pPr>
        <w:rPr>
          <w:rFonts w:hint="eastAsia" w:ascii="隶书" w:hAnsi="宋体" w:eastAsia="隶书"/>
          <w:bCs/>
          <w:color w:val="000000"/>
          <w:sz w:val="36"/>
          <w:szCs w:val="36"/>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舒体">
    <w:panose1 w:val="02010601030101010101"/>
    <w:charset w:val="86"/>
    <w:family w:val="roman"/>
    <w:pitch w:val="default"/>
    <w:sig w:usb0="00000003" w:usb1="080E0000" w:usb2="00000000" w:usb3="00000000" w:csb0="00040000" w:csb1="00000000"/>
  </w:font>
  <w:font w:name="font5-Identity-H">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0EA705"/>
    <w:multiLevelType w:val="singleLevel"/>
    <w:tmpl w:val="F50EA705"/>
    <w:lvl w:ilvl="0" w:tentative="0">
      <w:start w:val="1"/>
      <w:numFmt w:val="decimal"/>
      <w:pStyle w:val="4"/>
      <w:isLgl/>
      <w:suff w:val="space"/>
      <w:lvlText w:val="%1."/>
      <w:lvlJc w:val="left"/>
      <w:pPr>
        <w:tabs>
          <w:tab w:val="left" w:pos="420"/>
        </w:tabs>
        <w:ind w:left="425" w:hanging="425"/>
      </w:pPr>
      <w:rPr>
        <w:rFonts w:hint="default"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67635"/>
    <w:rsid w:val="01A95036"/>
    <w:rsid w:val="23467635"/>
    <w:rsid w:val="606D004D"/>
    <w:rsid w:val="66A9287C"/>
    <w:rsid w:val="75607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Plain Text"/>
    <w:basedOn w:val="1"/>
    <w:qFormat/>
    <w:uiPriority w:val="0"/>
    <w:rPr>
      <w:rFonts w:ascii="方正舒体" w:hAnsi="font5-Identity-H" w:cs="font5-Identity-H"/>
      <w:color w:val="auto"/>
    </w:rPr>
  </w:style>
  <w:style w:type="paragraph" w:styleId="4">
    <w:name w:val="toc 1"/>
    <w:basedOn w:val="1"/>
    <w:next w:val="3"/>
    <w:qFormat/>
    <w:uiPriority w:val="0"/>
    <w:pPr>
      <w:numPr>
        <w:ilvl w:val="0"/>
        <w:numId w:val="1"/>
      </w:numPr>
      <w:spacing w:line="360" w:lineRule="auto"/>
      <w:ind w:left="0" w:firstLine="0"/>
      <w:jc w:val="left"/>
    </w:pPr>
    <w:rPr>
      <w:rFonts w:ascii="仿宋_GB2312" w:hAnsi="仿宋_GB2312" w:eastAsia="宋体" w:cs="宋体"/>
      <w:sz w:val="30"/>
    </w:rPr>
  </w:style>
  <w:style w:type="character" w:customStyle="1" w:styleId="7">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2021-05-11T02:30:00Z</dcterms:created>
  <dc:creator>叶子</dc:creator>
  <cp:lastModifiedBy>TonyJiang</cp:lastModifiedBy>
  <dcterms:modified xsi:type="dcterms:W3CDTF">2021-05-12T13:36:49Z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CF822AEAEB064584B4C4C657C69B9E1C</vt:lpwstr>
  </property>
</Properties>
</file>