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受审核部门：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主管领导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裴国庆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/陪同人员</w:t>
            </w:r>
            <w:bookmarkStart w:id="0" w:name="联系人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</w:rPr>
              <w:t>杨靖</w:t>
            </w:r>
            <w:bookmarkEnd w:id="0"/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审核员：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李京田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审核时间：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2021.5.9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val="single"/>
                <w:lang w:val="en-US" w:eastAsia="zh-CN"/>
              </w:rPr>
              <w:t xml:space="preserve">91152502MA0QAKJ199 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val="single"/>
                <w:lang w:val="en-US" w:eastAsia="zh-CN"/>
              </w:rPr>
              <w:t xml:space="preserve"> 2019.7.9-2039.7.8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煤炭开采和洗选；煤矸石综合利用、煤炭、煤矸石、煤泥销售；矿山机械销售；热力的生产和供应；为母公司投资开发项目开展前期工作；矿产品、建材及化工产品（不含危险品）销售；普通货物道路运输；机械设备租赁；太阳能发电、风力发电的投资和管理经营。 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露天煤矿的开采所涉及的能源管理活动 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《采矿许可证 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val="single"/>
                <w:lang w:val="en-US" w:eastAsia="zh-CN"/>
              </w:rPr>
              <w:t>C1000002019121110149334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val="single"/>
                <w:lang w:val="en-US" w:eastAsia="zh-CN"/>
              </w:rPr>
              <w:t xml:space="preserve">  2019.12.12-2049.12.12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煤  露天开采  600万吨/年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内蒙古自治区锡林郭勒盟锡林浩特市宝力根苏木伊利勒特嘎查   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  <w:lang w:val="en-US" w:eastAsia="zh-CN"/>
              </w:rPr>
              <w:t>采矿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内蒙古自治区锡林郭勒盟锡林浩特市宝力根苏木伊利勒特嘎查    </w:t>
            </w:r>
            <w:r>
              <w:rPr>
                <w:color w:val="000000"/>
                <w:szCs w:val="21"/>
                <w:u w:val="single"/>
              </w:rPr>
              <w:t xml:space="preserve">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000000"/>
              </w:rPr>
              <w:t>多现场的名称和</w:t>
            </w:r>
            <w:r>
              <w:rPr>
                <w:rFonts w:hint="eastAsia"/>
                <w:color w:val="auto"/>
              </w:rPr>
              <w:t>具体位置：</w:t>
            </w:r>
          </w:p>
          <w:p>
            <w:pPr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</w:rPr>
              <w:t>现场1：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auto"/>
                <w:szCs w:val="21"/>
                <w:u w:val="single"/>
              </w:rPr>
              <w:t xml:space="preserve">                                            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现场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auto"/>
                <w:szCs w:val="21"/>
                <w:u w:val="single"/>
              </w:rPr>
              <w:t xml:space="preserve">                                           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与申请时提供的《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多场所申报清单</w:t>
            </w:r>
            <w:r>
              <w:rPr>
                <w:rFonts w:hint="eastAsia"/>
                <w:color w:val="auto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产/服务流程图：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开采流程主要为：穿爆—采装—运输—排土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lang w:val="en-US" w:eastAsia="zh-CN"/>
              </w:rPr>
              <w:t>采用</w:t>
            </w:r>
            <w:r>
              <w:rPr>
                <w:rFonts w:hint="eastAsia"/>
              </w:rPr>
              <w:t>单斗-卡车工艺   采用全年连续工作制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172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121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35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16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□EMS  □OHSMS  □FSMSMS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EnMS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u w:val="single"/>
              </w:rPr>
              <w:t>遵守法规  高效节能  创新改造  提高能效</w:t>
            </w:r>
            <w:r>
              <w:rPr>
                <w:color w:val="000000"/>
                <w:szCs w:val="18"/>
                <w:u w:val="single"/>
              </w:rPr>
              <w:t xml:space="preserve">     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管理</w:t>
            </w:r>
            <w:r>
              <w:rPr>
                <w:rFonts w:hint="eastAsia"/>
                <w:color w:val="000000"/>
                <w:spacing w:val="-2"/>
                <w:szCs w:val="21"/>
              </w:rPr>
              <w:t>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年节能量达到100吨标煤以上</w:t>
            </w:r>
            <w:r>
              <w:rPr>
                <w:color w:val="000000"/>
                <w:szCs w:val="18"/>
                <w:u w:val="single"/>
              </w:rPr>
              <w:t xml:space="preserve">              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u w:val="none"/>
                      <w:lang w:val="en-US" w:eastAsia="zh-CN"/>
                    </w:rPr>
                    <w:t xml:space="preserve">年节能量达到100吨标煤以上 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u w:val="none"/>
                      <w:lang w:val="en-US" w:eastAsia="zh-CN"/>
                    </w:rPr>
                    <w:t>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u w:val="none"/>
                      <w:lang w:val="en-US" w:eastAsia="zh-CN"/>
                    </w:rPr>
                    <w:t>提供计算公式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u w:val="none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cs="宋体"/>
                      <w:color w:val="0000FF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cs="宋体"/>
                      <w:color w:val="0000FF"/>
                      <w:kern w:val="0"/>
                      <w:sz w:val="15"/>
                      <w:szCs w:val="15"/>
                      <w:lang w:val="en-US" w:eastAsia="zh-C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cs="宋体"/>
                      <w:color w:val="0000FF"/>
                      <w:kern w:val="0"/>
                      <w:sz w:val="15"/>
                      <w:szCs w:val="15"/>
                      <w:lang w:val="en-US" w:eastAsia="zh-C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宋体" w:hAnsi="宋体" w:cs="宋体"/>
                      <w:color w:val="0000FF"/>
                      <w:kern w:val="0"/>
                      <w:sz w:val="15"/>
                      <w:szCs w:val="15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cs="宋体"/>
                      <w:color w:val="0000FF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En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1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10-11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bookmarkStart w:id="1" w:name="_GoBack"/>
            <w:bookmarkEnd w:id="1"/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用</w:t>
            </w:r>
            <w:r>
              <w:rPr>
                <w:rFonts w:hint="eastAsia"/>
                <w:color w:val="000000"/>
                <w:szCs w:val="18"/>
              </w:rPr>
              <w:t>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一般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用</w:t>
            </w:r>
            <w:r>
              <w:rPr>
                <w:rFonts w:hint="eastAsia"/>
                <w:color w:val="000000"/>
                <w:szCs w:val="18"/>
              </w:rPr>
              <w:t>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能源目标指标完成情况：</w:t>
            </w:r>
          </w:p>
          <w:tbl>
            <w:tblPr>
              <w:tblStyle w:val="6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节能评估报告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节能项目验收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能源审计报告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了解适用的能源法律和其他要求的获取、识别和实施情况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组织能源评审报告的完成情况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近一年是否进行了技术改进？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  <w:lang w:val="en-US" w:eastAsia="zh-CN"/>
              </w:rPr>
              <w:t xml:space="preserve">气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运行效率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>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流量计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□ 有生产/服务现场   □领导层可以迎审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二阶段日期的可接受性  □审核组成员的可接受性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L58sK1AQAAQQ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FSWOW5zR4euXw7cfh++fySLrM4bYYNh9wMA0vfUTzvnZHtGY&#10;aU8KbP4jIYJ+VHp/VldOiQg0VhfLZXVRUyLQV9VX9WWRn/3KDhDTnfSW5EtLAadXROW79zFhJxj6&#10;HJKLRW90t9HGlAf023cGyI7jpDfly01iym9hxpGxpdd1VRdk53P+Mc64jCPL0pzqZepHivmWpu10&#10;0mPruz3K8RRA9wO2WgRhOQjnVKqediovwss33l9u/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L58sK1AQAAQQMAAA4AAAAAAAAAAQAgAAAAJQEAAGRycy9lMm9Eb2MueG1sUEsFBgAAAAAG&#10;AAYAWQEAAEw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6C4A"/>
    <w:rsid w:val="0003373A"/>
    <w:rsid w:val="00050712"/>
    <w:rsid w:val="00062769"/>
    <w:rsid w:val="00074D9E"/>
    <w:rsid w:val="00076F03"/>
    <w:rsid w:val="00097367"/>
    <w:rsid w:val="000C6230"/>
    <w:rsid w:val="000D470C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B73EB"/>
    <w:rsid w:val="002E5391"/>
    <w:rsid w:val="003027A0"/>
    <w:rsid w:val="00311C11"/>
    <w:rsid w:val="00337922"/>
    <w:rsid w:val="00340867"/>
    <w:rsid w:val="00340955"/>
    <w:rsid w:val="00380837"/>
    <w:rsid w:val="003D039F"/>
    <w:rsid w:val="00410914"/>
    <w:rsid w:val="00476214"/>
    <w:rsid w:val="00480A77"/>
    <w:rsid w:val="004E2167"/>
    <w:rsid w:val="00501B6F"/>
    <w:rsid w:val="00536930"/>
    <w:rsid w:val="00564E53"/>
    <w:rsid w:val="00577053"/>
    <w:rsid w:val="00577834"/>
    <w:rsid w:val="005C2AC8"/>
    <w:rsid w:val="005E1D4D"/>
    <w:rsid w:val="005F277C"/>
    <w:rsid w:val="005F54B8"/>
    <w:rsid w:val="00622D37"/>
    <w:rsid w:val="00644FE2"/>
    <w:rsid w:val="0067640C"/>
    <w:rsid w:val="0067722B"/>
    <w:rsid w:val="006A51B5"/>
    <w:rsid w:val="006D4E32"/>
    <w:rsid w:val="006E678B"/>
    <w:rsid w:val="006F4C57"/>
    <w:rsid w:val="0074211D"/>
    <w:rsid w:val="00763D34"/>
    <w:rsid w:val="007757F3"/>
    <w:rsid w:val="007E6AEB"/>
    <w:rsid w:val="00824194"/>
    <w:rsid w:val="00854B68"/>
    <w:rsid w:val="00871C15"/>
    <w:rsid w:val="008726E2"/>
    <w:rsid w:val="008973EE"/>
    <w:rsid w:val="008C7D6A"/>
    <w:rsid w:val="0090203B"/>
    <w:rsid w:val="009051F1"/>
    <w:rsid w:val="00916110"/>
    <w:rsid w:val="0093215A"/>
    <w:rsid w:val="00971600"/>
    <w:rsid w:val="00971A54"/>
    <w:rsid w:val="00981736"/>
    <w:rsid w:val="009973B4"/>
    <w:rsid w:val="009C0511"/>
    <w:rsid w:val="009F78F1"/>
    <w:rsid w:val="009F7EED"/>
    <w:rsid w:val="00A04720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44D2"/>
    <w:rsid w:val="00CC7D3E"/>
    <w:rsid w:val="00CE315A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96296"/>
    <w:rsid w:val="00EB0164"/>
    <w:rsid w:val="00EC2D9D"/>
    <w:rsid w:val="00ED0F62"/>
    <w:rsid w:val="00ED31DE"/>
    <w:rsid w:val="00F05CBB"/>
    <w:rsid w:val="00F135F7"/>
    <w:rsid w:val="00F17883"/>
    <w:rsid w:val="00F35C3A"/>
    <w:rsid w:val="00F411FF"/>
    <w:rsid w:val="00F71ED3"/>
    <w:rsid w:val="00F85FCD"/>
    <w:rsid w:val="00F9689E"/>
    <w:rsid w:val="023E3548"/>
    <w:rsid w:val="023E7EF8"/>
    <w:rsid w:val="033D1C2C"/>
    <w:rsid w:val="03CC01AD"/>
    <w:rsid w:val="04242A2B"/>
    <w:rsid w:val="048575B6"/>
    <w:rsid w:val="05A97751"/>
    <w:rsid w:val="07687D49"/>
    <w:rsid w:val="089D2465"/>
    <w:rsid w:val="0B0349A4"/>
    <w:rsid w:val="0B620728"/>
    <w:rsid w:val="0BA547CC"/>
    <w:rsid w:val="0BAB3B27"/>
    <w:rsid w:val="0BF31613"/>
    <w:rsid w:val="0CE360D5"/>
    <w:rsid w:val="0D2E023B"/>
    <w:rsid w:val="0DE37984"/>
    <w:rsid w:val="0E7B2CC7"/>
    <w:rsid w:val="0F0D1284"/>
    <w:rsid w:val="0F751007"/>
    <w:rsid w:val="108219C2"/>
    <w:rsid w:val="10957F92"/>
    <w:rsid w:val="109E2734"/>
    <w:rsid w:val="10AB520A"/>
    <w:rsid w:val="11537B43"/>
    <w:rsid w:val="117E6D5A"/>
    <w:rsid w:val="11CD659A"/>
    <w:rsid w:val="12787EE6"/>
    <w:rsid w:val="12D12C05"/>
    <w:rsid w:val="130E504F"/>
    <w:rsid w:val="131B209B"/>
    <w:rsid w:val="13890C34"/>
    <w:rsid w:val="144E55A7"/>
    <w:rsid w:val="14BA7805"/>
    <w:rsid w:val="16674354"/>
    <w:rsid w:val="16950047"/>
    <w:rsid w:val="184C61B5"/>
    <w:rsid w:val="18A12E8E"/>
    <w:rsid w:val="19D7150C"/>
    <w:rsid w:val="1B0C55E1"/>
    <w:rsid w:val="1B121C61"/>
    <w:rsid w:val="1B8D4D03"/>
    <w:rsid w:val="1B917B85"/>
    <w:rsid w:val="1B9B6ABA"/>
    <w:rsid w:val="1C5A0E97"/>
    <w:rsid w:val="1C633876"/>
    <w:rsid w:val="1CB32766"/>
    <w:rsid w:val="1F022080"/>
    <w:rsid w:val="1F4D1700"/>
    <w:rsid w:val="1F8B7D7A"/>
    <w:rsid w:val="1FA53B1A"/>
    <w:rsid w:val="205B068C"/>
    <w:rsid w:val="21016ED3"/>
    <w:rsid w:val="21517F70"/>
    <w:rsid w:val="217577AF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8D18F5"/>
    <w:rsid w:val="278F25E8"/>
    <w:rsid w:val="27C52A22"/>
    <w:rsid w:val="283B0D09"/>
    <w:rsid w:val="28AE480B"/>
    <w:rsid w:val="28B643EE"/>
    <w:rsid w:val="290F2A57"/>
    <w:rsid w:val="29384107"/>
    <w:rsid w:val="29860A3F"/>
    <w:rsid w:val="2A55501F"/>
    <w:rsid w:val="2ACD303D"/>
    <w:rsid w:val="2B5D50A3"/>
    <w:rsid w:val="2DEB5B9F"/>
    <w:rsid w:val="2EE13094"/>
    <w:rsid w:val="2F2B229D"/>
    <w:rsid w:val="30A94000"/>
    <w:rsid w:val="30D4357D"/>
    <w:rsid w:val="322F7AAD"/>
    <w:rsid w:val="337866CB"/>
    <w:rsid w:val="342E5633"/>
    <w:rsid w:val="357300C6"/>
    <w:rsid w:val="362C71DC"/>
    <w:rsid w:val="368D4A53"/>
    <w:rsid w:val="37741286"/>
    <w:rsid w:val="38442B85"/>
    <w:rsid w:val="385A4AB2"/>
    <w:rsid w:val="38CF3AE1"/>
    <w:rsid w:val="39AB58CB"/>
    <w:rsid w:val="3A242819"/>
    <w:rsid w:val="3AC608CB"/>
    <w:rsid w:val="3BBB3FFC"/>
    <w:rsid w:val="3BE22D59"/>
    <w:rsid w:val="3C4A64C8"/>
    <w:rsid w:val="3D1E51E8"/>
    <w:rsid w:val="3D207B84"/>
    <w:rsid w:val="3D662E26"/>
    <w:rsid w:val="3EBF4EFB"/>
    <w:rsid w:val="40D80BB8"/>
    <w:rsid w:val="40D92CA7"/>
    <w:rsid w:val="413D1451"/>
    <w:rsid w:val="44E8380F"/>
    <w:rsid w:val="44FC1CFD"/>
    <w:rsid w:val="45E625F9"/>
    <w:rsid w:val="462C25D5"/>
    <w:rsid w:val="46F31DBC"/>
    <w:rsid w:val="478A2FD4"/>
    <w:rsid w:val="4A040AF9"/>
    <w:rsid w:val="4A474B11"/>
    <w:rsid w:val="4A817CA5"/>
    <w:rsid w:val="4C133CFF"/>
    <w:rsid w:val="4CD55567"/>
    <w:rsid w:val="4D252F6D"/>
    <w:rsid w:val="4DB85769"/>
    <w:rsid w:val="4E767696"/>
    <w:rsid w:val="4F8F6E42"/>
    <w:rsid w:val="50486EB2"/>
    <w:rsid w:val="504978B1"/>
    <w:rsid w:val="50F446D1"/>
    <w:rsid w:val="51A77C3C"/>
    <w:rsid w:val="51F24ECB"/>
    <w:rsid w:val="52721D12"/>
    <w:rsid w:val="53C433BC"/>
    <w:rsid w:val="54050D0D"/>
    <w:rsid w:val="54AF6381"/>
    <w:rsid w:val="54F02770"/>
    <w:rsid w:val="552A24C0"/>
    <w:rsid w:val="558E510B"/>
    <w:rsid w:val="57732CC8"/>
    <w:rsid w:val="57D23F41"/>
    <w:rsid w:val="58A62B52"/>
    <w:rsid w:val="58BE376D"/>
    <w:rsid w:val="59FE62E7"/>
    <w:rsid w:val="5A087CD7"/>
    <w:rsid w:val="5AA17491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14E1453"/>
    <w:rsid w:val="61831066"/>
    <w:rsid w:val="623138DD"/>
    <w:rsid w:val="62A55CAB"/>
    <w:rsid w:val="6413502E"/>
    <w:rsid w:val="663634DC"/>
    <w:rsid w:val="66557E57"/>
    <w:rsid w:val="67EE12FA"/>
    <w:rsid w:val="68F6125C"/>
    <w:rsid w:val="69A27837"/>
    <w:rsid w:val="69F73940"/>
    <w:rsid w:val="6A35028E"/>
    <w:rsid w:val="6A4D59DC"/>
    <w:rsid w:val="6A666DEF"/>
    <w:rsid w:val="6A7E2167"/>
    <w:rsid w:val="6AF11F23"/>
    <w:rsid w:val="6BC3715D"/>
    <w:rsid w:val="6C665B72"/>
    <w:rsid w:val="6C7B045A"/>
    <w:rsid w:val="6CAF4B0F"/>
    <w:rsid w:val="6E77647E"/>
    <w:rsid w:val="6E847463"/>
    <w:rsid w:val="6F753E02"/>
    <w:rsid w:val="704F0115"/>
    <w:rsid w:val="70E63C29"/>
    <w:rsid w:val="70F03A75"/>
    <w:rsid w:val="711D4B74"/>
    <w:rsid w:val="71A03430"/>
    <w:rsid w:val="724868FF"/>
    <w:rsid w:val="727536BE"/>
    <w:rsid w:val="72824AAA"/>
    <w:rsid w:val="72BC26A9"/>
    <w:rsid w:val="73125CA2"/>
    <w:rsid w:val="731A42E7"/>
    <w:rsid w:val="736232A6"/>
    <w:rsid w:val="74024AB6"/>
    <w:rsid w:val="7450335A"/>
    <w:rsid w:val="74C14BCB"/>
    <w:rsid w:val="74D166F6"/>
    <w:rsid w:val="751506D8"/>
    <w:rsid w:val="75370FDC"/>
    <w:rsid w:val="75E954AA"/>
    <w:rsid w:val="75FF34EF"/>
    <w:rsid w:val="764C516C"/>
    <w:rsid w:val="76CC1AB2"/>
    <w:rsid w:val="785E4287"/>
    <w:rsid w:val="78951B16"/>
    <w:rsid w:val="7A447DAB"/>
    <w:rsid w:val="7A907574"/>
    <w:rsid w:val="7ADF52F1"/>
    <w:rsid w:val="7AF26147"/>
    <w:rsid w:val="7C942478"/>
    <w:rsid w:val="7CA96862"/>
    <w:rsid w:val="7CFC1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2710</Words>
  <Characters>15447</Characters>
  <Lines>128</Lines>
  <Paragraphs>36</Paragraphs>
  <TotalTime>4</TotalTime>
  <ScaleCrop>false</ScaleCrop>
  <LinksUpToDate>false</LinksUpToDate>
  <CharactersWithSpaces>18121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TonyJiang</cp:lastModifiedBy>
  <dcterms:modified xsi:type="dcterms:W3CDTF">2021-05-13T09:19:24Z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65716080DDC246E4B8894DD4222DD6C9</vt:lpwstr>
  </property>
</Properties>
</file>