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内蒙古能源发电投资集团锡林郭勒胜利矿业有限公司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0246-2021-EnMS</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r>
              <w:rPr>
                <w:rFonts w:hint="eastAsia"/>
                <w:sz w:val="21"/>
                <w:szCs w:val="21"/>
                <w:lang w:eastAsia="zh-CN"/>
              </w:rPr>
              <w:t>☑</w:t>
            </w:r>
            <w:r>
              <w:rPr>
                <w:rFonts w:hint="eastAsia"/>
                <w:spacing w:val="-2"/>
                <w:sz w:val="21"/>
                <w:szCs w:val="21"/>
                <w:lang w:val="en-US" w:eastAsia="zh-CN"/>
              </w:rPr>
              <w:t>En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4" w:name="联系人"/>
            <w:r>
              <w:rPr>
                <w:sz w:val="21"/>
                <w:szCs w:val="21"/>
              </w:rPr>
              <w:t>刘伟</w:t>
            </w:r>
            <w:bookmarkEnd w:id="4"/>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5" w:name="联系人电话"/>
            <w:r>
              <w:rPr>
                <w:sz w:val="21"/>
                <w:szCs w:val="21"/>
              </w:rPr>
              <w:t>15894831432</w:t>
            </w:r>
            <w:bookmarkEnd w:id="5"/>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6" w:name="联系人邮箱"/>
            <w:r>
              <w:rPr>
                <w:sz w:val="21"/>
                <w:szCs w:val="21"/>
              </w:rPr>
              <w:t>521119787@qq.com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7" w:name="最高管理者"/>
            <w:bookmarkEnd w:id="7"/>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8" w:name="联系人传真"/>
            <w:bookmarkEnd w:id="8"/>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9" w:name="审核范围"/>
            <w:r>
              <w:t>露天煤矿的开采所涉及的能源管理活动</w:t>
            </w:r>
            <w:bookmarkEnd w:id="9"/>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0" w:name="专业代码"/>
            <w:r>
              <w:t>1.1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hint="eastAsia" w:ascii="宋体" w:hAnsi="宋体" w:eastAsia="宋体"/>
                <w:b/>
                <w:sz w:val="21"/>
                <w:szCs w:val="21"/>
                <w:lang w:eastAsia="zh-CN"/>
              </w:rPr>
            </w:pPr>
            <w:bookmarkStart w:id="11" w:name="审核依据"/>
            <w:r>
              <w:rPr>
                <w:rFonts w:hint="eastAsia" w:ascii="宋体" w:hAnsi="宋体"/>
                <w:b/>
                <w:sz w:val="21"/>
                <w:szCs w:val="21"/>
              </w:rPr>
              <w:t>GB/T23331-20</w:t>
            </w:r>
            <w:r>
              <w:rPr>
                <w:rFonts w:hint="eastAsia" w:ascii="宋体" w:hAnsi="宋体"/>
                <w:b/>
                <w:sz w:val="21"/>
                <w:szCs w:val="21"/>
                <w:lang w:val="en-US" w:eastAsia="zh-CN"/>
              </w:rPr>
              <w:t>20</w:t>
            </w:r>
            <w:r>
              <w:rPr>
                <w:rFonts w:hint="eastAsia" w:ascii="宋体" w:hAnsi="宋体"/>
                <w:b/>
                <w:sz w:val="21"/>
                <w:szCs w:val="21"/>
              </w:rPr>
              <w:t>/ISO50001:201</w:t>
            </w:r>
            <w:bookmarkEnd w:id="11"/>
            <w:r>
              <w:rPr>
                <w:rFonts w:hint="eastAsia" w:ascii="宋体" w:hAnsi="宋体"/>
                <w:b/>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2" w:name="审核日期安排"/>
            <w:r>
              <w:rPr>
                <w:rFonts w:hint="eastAsia"/>
                <w:b/>
                <w:sz w:val="21"/>
                <w:szCs w:val="21"/>
              </w:rPr>
              <w:t>2021年05月09日 上午至2021年05月09日 下午 (共1.0天)</w:t>
            </w:r>
            <w:bookmarkEnd w:id="12"/>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姜小清</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审核员</w:t>
            </w: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r>
              <w:rPr>
                <w:sz w:val="21"/>
                <w:szCs w:val="21"/>
              </w:rPr>
              <w:t>13801208638</w:t>
            </w:r>
          </w:p>
        </w:tc>
        <w:tc>
          <w:tcPr>
            <w:tcW w:w="1229" w:type="dxa"/>
            <w:vAlign w:val="center"/>
          </w:tcPr>
          <w:p>
            <w:pPr>
              <w:jc w:val="center"/>
              <w:rPr>
                <w:sz w:val="21"/>
                <w:szCs w:val="21"/>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朱鸿雁</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专家</w:t>
            </w:r>
          </w:p>
          <w:p>
            <w:pPr>
              <w:jc w:val="center"/>
              <w:rPr>
                <w:sz w:val="21"/>
                <w:szCs w:val="21"/>
              </w:rPr>
            </w:pPr>
          </w:p>
        </w:tc>
        <w:tc>
          <w:tcPr>
            <w:tcW w:w="3402" w:type="dxa"/>
            <w:gridSpan w:val="4"/>
            <w:vAlign w:val="center"/>
          </w:tcPr>
          <w:p>
            <w:pPr>
              <w:jc w:val="center"/>
              <w:rPr>
                <w:sz w:val="21"/>
                <w:szCs w:val="21"/>
              </w:rPr>
            </w:pPr>
            <w:r>
              <w:rPr>
                <w:sz w:val="21"/>
                <w:szCs w:val="21"/>
              </w:rPr>
              <w:t>1.1</w:t>
            </w:r>
          </w:p>
        </w:tc>
        <w:tc>
          <w:tcPr>
            <w:tcW w:w="1559" w:type="dxa"/>
            <w:gridSpan w:val="4"/>
            <w:vAlign w:val="center"/>
          </w:tcPr>
          <w:p>
            <w:pPr>
              <w:jc w:val="center"/>
              <w:rPr>
                <w:sz w:val="21"/>
                <w:szCs w:val="21"/>
              </w:rPr>
            </w:pPr>
            <w:r>
              <w:rPr>
                <w:sz w:val="21"/>
                <w:szCs w:val="21"/>
              </w:rPr>
              <w:t>15849937032</w:t>
            </w:r>
          </w:p>
        </w:tc>
        <w:tc>
          <w:tcPr>
            <w:tcW w:w="1229" w:type="dxa"/>
            <w:vAlign w:val="center"/>
          </w:tcPr>
          <w:p>
            <w:pPr>
              <w:jc w:val="center"/>
              <w:rPr>
                <w:sz w:val="21"/>
                <w:szCs w:val="21"/>
              </w:rPr>
            </w:pPr>
            <w:r>
              <w:rPr>
                <w:sz w:val="21"/>
                <w:szCs w:val="21"/>
              </w:rPr>
              <w:t>ISC-JSZJ-292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李京田</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审核员</w:t>
            </w: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r>
              <w:rPr>
                <w:sz w:val="21"/>
                <w:szCs w:val="21"/>
              </w:rPr>
              <w:t>13601093935</w:t>
            </w:r>
          </w:p>
        </w:tc>
        <w:tc>
          <w:tcPr>
            <w:tcW w:w="1229" w:type="dxa"/>
            <w:vAlign w:val="center"/>
          </w:tcPr>
          <w:p>
            <w:pPr>
              <w:jc w:val="center"/>
              <w:rPr>
                <w:sz w:val="21"/>
                <w:szCs w:val="21"/>
              </w:rPr>
            </w:pPr>
            <w:r>
              <w:rPr>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141" w:type="dxa"/>
            <w:gridSpan w:val="2"/>
            <w:vAlign w:val="center"/>
          </w:tcPr>
          <w:p/>
        </w:tc>
        <w:tc>
          <w:tcPr>
            <w:tcW w:w="3402" w:type="dxa"/>
            <w:gridSpan w:val="4"/>
            <w:vAlign w:val="center"/>
          </w:tcPr>
          <w:p/>
        </w:tc>
        <w:tc>
          <w:tcPr>
            <w:tcW w:w="1559" w:type="dxa"/>
            <w:gridSpan w:val="4"/>
            <w:vAlign w:val="center"/>
          </w:tcPr>
          <w:p/>
        </w:tc>
        <w:tc>
          <w:tcPr>
            <w:tcW w:w="12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sz w:val="21"/>
                <w:szCs w:val="21"/>
              </w:rPr>
            </w:pPr>
            <w:r>
              <w:rPr>
                <w:rFonts w:hint="eastAsia" w:ascii="宋体" w:hAnsi="宋体"/>
                <w:color w:val="000000"/>
                <w:sz w:val="28"/>
                <w:szCs w:val="28"/>
              </w:rPr>
              <w:drawing>
                <wp:inline distT="0" distB="0" distL="114300" distR="114300">
                  <wp:extent cx="528955" cy="236220"/>
                  <wp:effectExtent l="0" t="0" r="444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8955" cy="236220"/>
                          </a:xfrm>
                          <a:prstGeom prst="rect">
                            <a:avLst/>
                          </a:prstGeom>
                          <a:noFill/>
                          <a:ln w="9525">
                            <a:noFill/>
                          </a:ln>
                        </pic:spPr>
                      </pic:pic>
                    </a:graphicData>
                  </a:graphic>
                </wp:inline>
              </w:drawing>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rFonts w:hint="eastAsia" w:eastAsia="宋体"/>
                <w:sz w:val="21"/>
                <w:szCs w:val="21"/>
                <w:lang w:val="en-US" w:eastAsia="zh-CN"/>
              </w:rPr>
            </w:pPr>
            <w:r>
              <w:rPr>
                <w:rFonts w:hint="eastAsia"/>
                <w:sz w:val="21"/>
                <w:szCs w:val="21"/>
                <w:lang w:val="en-US" w:eastAsia="zh-CN"/>
              </w:rPr>
              <w:t>李永忠</w:t>
            </w: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u w:val="single"/>
              </w:rPr>
              <w:t>签字</w:t>
            </w:r>
            <w:r>
              <w:rPr>
                <w:rFonts w:hint="eastAsia"/>
                <w:sz w:val="21"/>
                <w:szCs w:val="21"/>
              </w:rPr>
              <w:t>及</w:t>
            </w:r>
            <w:r>
              <w:rPr>
                <w:rFonts w:hint="eastAsia"/>
                <w:sz w:val="21"/>
                <w:szCs w:val="21"/>
                <w:u w:val="single"/>
              </w:rPr>
              <w:t>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13801208638</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2021.5.8</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2021.4.28</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rPr>
                <w:rFonts w:hint="default" w:eastAsia="宋体"/>
                <w:lang w:val="en-US" w:eastAsia="zh-CN"/>
              </w:rPr>
            </w:pPr>
            <w:r>
              <w:rPr>
                <w:rFonts w:hint="eastAsia"/>
                <w:lang w:val="en-US" w:eastAsia="zh-CN"/>
              </w:rPr>
              <w:t>2021.5.8</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vAlign w:val="center"/>
          </w:tcPr>
          <w:p>
            <w:pPr>
              <w:snapToGrid w:val="0"/>
              <w:spacing w:line="28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2021.5.9</w:t>
            </w:r>
          </w:p>
          <w:p>
            <w:pPr>
              <w:snapToGrid w:val="0"/>
              <w:spacing w:line="280" w:lineRule="exact"/>
              <w:jc w:val="left"/>
              <w:rPr>
                <w:rFonts w:hint="default"/>
                <w:b/>
                <w:sz w:val="20"/>
                <w:lang w:val="en-US"/>
              </w:rPr>
            </w:pPr>
            <w:r>
              <w:rPr>
                <w:rFonts w:hint="eastAsia" w:asciiTheme="minorEastAsia" w:hAnsiTheme="minorEastAsia" w:eastAsiaTheme="minorEastAsia" w:cstheme="minorEastAsia"/>
                <w:sz w:val="18"/>
                <w:szCs w:val="18"/>
                <w:lang w:val="en-US" w:eastAsia="zh-CN"/>
              </w:rPr>
              <w:t xml:space="preserve"> </w:t>
            </w:r>
          </w:p>
        </w:tc>
        <w:tc>
          <w:tcPr>
            <w:tcW w:w="1505" w:type="dxa"/>
            <w:vAlign w:val="center"/>
          </w:tcPr>
          <w:p>
            <w:pPr>
              <w:snapToGrid w:val="0"/>
              <w:spacing w:line="280" w:lineRule="exact"/>
              <w:jc w:val="left"/>
              <w:rPr>
                <w:b/>
                <w:sz w:val="20"/>
              </w:rPr>
            </w:pPr>
            <w:r>
              <w:rPr>
                <w:rFonts w:hint="eastAsia" w:asciiTheme="minorEastAsia" w:hAnsiTheme="minorEastAsia" w:eastAsiaTheme="minorEastAsia" w:cstheme="minorEastAsia"/>
                <w:sz w:val="21"/>
                <w:szCs w:val="21"/>
                <w:lang w:val="en-US" w:eastAsia="zh-CN"/>
              </w:rPr>
              <w:t>8：00</w:t>
            </w:r>
            <w:r>
              <w:rPr>
                <w:rFonts w:hint="eastAsia" w:ascii="宋体" w:hAnsi="宋体" w:eastAsia="宋体" w:cs="宋体"/>
                <w:sz w:val="18"/>
                <w:szCs w:val="18"/>
                <w:lang w:val="en-US" w:eastAsia="zh-CN"/>
              </w:rPr>
              <w:t>～</w:t>
            </w:r>
            <w:r>
              <w:rPr>
                <w:rFonts w:hint="eastAsia" w:asciiTheme="minorEastAsia" w:hAnsiTheme="minorEastAsia" w:eastAsiaTheme="minorEastAsia" w:cstheme="minorEastAsia"/>
                <w:sz w:val="21"/>
                <w:szCs w:val="21"/>
                <w:lang w:val="en-US" w:eastAsia="zh-CN"/>
              </w:rPr>
              <w:t>8：30</w:t>
            </w:r>
          </w:p>
        </w:tc>
        <w:tc>
          <w:tcPr>
            <w:tcW w:w="6665" w:type="dxa"/>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首次会议</w:t>
            </w:r>
          </w:p>
        </w:tc>
        <w:tc>
          <w:tcPr>
            <w:tcW w:w="1196" w:type="dxa"/>
            <w:tcBorders>
              <w:right w:val="single" w:color="auto" w:sz="8" w:space="0"/>
            </w:tcBorders>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ISC-201919</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ISC-14142</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（ISC-JSZJ-292）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rFonts w:hint="default"/>
                <w:b/>
                <w:sz w:val="20"/>
                <w:lang w:val="en-US"/>
              </w:rPr>
            </w:pPr>
          </w:p>
        </w:tc>
        <w:tc>
          <w:tcPr>
            <w:tcW w:w="1505" w:type="dxa"/>
            <w:vAlign w:val="center"/>
          </w:tcPr>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8:30</w:t>
            </w:r>
            <w:r>
              <w:rPr>
                <w:rFonts w:hint="eastAsia" w:ascii="宋体" w:hAnsi="宋体" w:eastAsia="宋体" w:cs="宋体"/>
                <w:sz w:val="18"/>
                <w:szCs w:val="18"/>
                <w:lang w:val="en-US" w:eastAsia="zh-CN"/>
              </w:rPr>
              <w:t>～</w:t>
            </w:r>
            <w:r>
              <w:rPr>
                <w:rFonts w:hint="eastAsia" w:asciiTheme="minorEastAsia" w:hAnsiTheme="minorEastAsia" w:eastAsiaTheme="minorEastAsia" w:cstheme="minorEastAsia"/>
                <w:sz w:val="18"/>
                <w:szCs w:val="18"/>
                <w:lang w:val="en-US" w:eastAsia="zh-CN"/>
              </w:rPr>
              <w:t>12:00</w:t>
            </w:r>
          </w:p>
        </w:tc>
        <w:tc>
          <w:tcPr>
            <w:tcW w:w="6665" w:type="dxa"/>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一、合同基本信息确认:</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1、核对资质证书（营业执照、生产（安全）许可证、行业许可证、3C证书等）原件和复印件/扫描件的一致性</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2、确定审核范围的合理性（地址、产品/服务）</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3、确定多现场和临时现场的地址</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4、确定有效的员工人数 </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5、生产、服务的班次</w:t>
            </w:r>
          </w:p>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6、体系运行时间是否满足6个月</w:t>
            </w:r>
          </w:p>
        </w:tc>
        <w:tc>
          <w:tcPr>
            <w:tcW w:w="1196" w:type="dxa"/>
            <w:vMerge w:val="restart"/>
            <w:tcBorders>
              <w:right w:val="single" w:color="auto" w:sz="8" w:space="0"/>
            </w:tcBorders>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ISC-14142</w:t>
            </w:r>
          </w:p>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rFonts w:hint="default"/>
                <w:b/>
                <w:sz w:val="20"/>
                <w:lang w:val="en-US"/>
              </w:rPr>
            </w:pPr>
          </w:p>
        </w:tc>
        <w:tc>
          <w:tcPr>
            <w:tcW w:w="1505" w:type="dxa"/>
            <w:vAlign w:val="center"/>
          </w:tcPr>
          <w:p>
            <w:pPr>
              <w:snapToGrid w:val="0"/>
              <w:spacing w:line="280" w:lineRule="exact"/>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12：00~13:00</w:t>
            </w:r>
          </w:p>
        </w:tc>
        <w:tc>
          <w:tcPr>
            <w:tcW w:w="6665" w:type="dxa"/>
            <w:vAlign w:val="center"/>
          </w:tcPr>
          <w:p>
            <w:pPr>
              <w:snapToGrid w:val="0"/>
              <w:spacing w:line="280" w:lineRule="exact"/>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中午休息时间</w:t>
            </w:r>
          </w:p>
        </w:tc>
        <w:tc>
          <w:tcPr>
            <w:tcW w:w="1196" w:type="dxa"/>
            <w:vMerge w:val="continue"/>
            <w:tcBorders>
              <w:right w:val="single" w:color="auto" w:sz="8" w:space="0"/>
            </w:tcBorders>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restart"/>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13:00</w:t>
            </w:r>
            <w:r>
              <w:rPr>
                <w:rFonts w:hint="eastAsia" w:ascii="宋体" w:hAnsi="宋体" w:eastAsia="宋体" w:cs="宋体"/>
                <w:sz w:val="18"/>
                <w:szCs w:val="18"/>
                <w:lang w:val="en-US" w:eastAsia="zh-CN"/>
              </w:rPr>
              <w:t>～</w:t>
            </w:r>
            <w:r>
              <w:rPr>
                <w:rFonts w:hint="eastAsia" w:asciiTheme="minorEastAsia" w:hAnsiTheme="minorEastAsia" w:eastAsiaTheme="minorEastAsia" w:cstheme="minorEastAsia"/>
                <w:sz w:val="18"/>
                <w:szCs w:val="18"/>
                <w:lang w:val="en-US" w:eastAsia="zh-CN"/>
              </w:rPr>
              <w:t>16:30</w:t>
            </w:r>
          </w:p>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 xml:space="preserve"> </w:t>
            </w:r>
          </w:p>
        </w:tc>
        <w:tc>
          <w:tcPr>
            <w:tcW w:w="6665" w:type="dxa"/>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二、管理体系的运行情况：</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1、管理方针制定与贯彻情况</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2、管理目标及完成统计</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3、员工对相关标准的认知和能力（贯标培训、应知应会、持证上岗等）</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4、相关方/客户的反馈</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5、内审的策划和实施</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6、管理体系的评审</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7、对多场所/临时场所建立的控制的水平（适用时）</w:t>
            </w:r>
          </w:p>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8、识别二阶段审核的资源配置情况和可行性</w:t>
            </w:r>
          </w:p>
        </w:tc>
        <w:tc>
          <w:tcPr>
            <w:tcW w:w="1196"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rFonts w:hint="default"/>
                <w:b/>
                <w:sz w:val="20"/>
                <w:lang w:val="en-US"/>
              </w:rPr>
            </w:pPr>
          </w:p>
        </w:tc>
        <w:tc>
          <w:tcPr>
            <w:tcW w:w="1505" w:type="dxa"/>
            <w:vMerge w:val="continue"/>
            <w:vAlign w:val="center"/>
          </w:tcPr>
          <w:p>
            <w:pPr>
              <w:snapToGrid w:val="0"/>
              <w:spacing w:line="280" w:lineRule="exact"/>
              <w:jc w:val="left"/>
              <w:rPr>
                <w:b/>
                <w:sz w:val="20"/>
              </w:rPr>
            </w:pPr>
          </w:p>
        </w:tc>
        <w:tc>
          <w:tcPr>
            <w:tcW w:w="6665" w:type="dxa"/>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一、了解企业基本情况：</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1、组织环境</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2、主要的相关方和期望 </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3、风险的识别和评价</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4、组织机构的设置</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5、外部提供过程、产品和服务</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6、被主管部门处罚和曝光情况</w:t>
            </w:r>
          </w:p>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7、其他机构转入情况（适用时）</w:t>
            </w:r>
          </w:p>
        </w:tc>
        <w:tc>
          <w:tcPr>
            <w:tcW w:w="1196"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continue"/>
            <w:vAlign w:val="center"/>
          </w:tcPr>
          <w:p>
            <w:pPr>
              <w:snapToGrid w:val="0"/>
              <w:spacing w:line="280" w:lineRule="exact"/>
              <w:jc w:val="left"/>
              <w:rPr>
                <w:b/>
                <w:sz w:val="20"/>
              </w:rPr>
            </w:pPr>
          </w:p>
        </w:tc>
        <w:tc>
          <w:tcPr>
            <w:tcW w:w="6665" w:type="dxa"/>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二、文件化体系策划情况</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 管理手册；</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2、文件化的程序；</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3、作业文件；</w:t>
            </w:r>
          </w:p>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4、记录表格</w:t>
            </w:r>
          </w:p>
        </w:tc>
        <w:tc>
          <w:tcPr>
            <w:tcW w:w="1196"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restart"/>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8:30</w:t>
            </w:r>
            <w:r>
              <w:rPr>
                <w:rFonts w:hint="eastAsia" w:ascii="宋体" w:hAnsi="宋体" w:eastAsia="宋体" w:cs="宋体"/>
                <w:sz w:val="18"/>
                <w:szCs w:val="18"/>
                <w:lang w:val="en-US" w:eastAsia="zh-CN"/>
              </w:rPr>
              <w:t>～</w:t>
            </w:r>
            <w:r>
              <w:rPr>
                <w:rFonts w:hint="eastAsia" w:asciiTheme="minorEastAsia" w:hAnsiTheme="minorEastAsia" w:eastAsiaTheme="minorEastAsia" w:cstheme="minorEastAsia"/>
                <w:sz w:val="18"/>
                <w:szCs w:val="18"/>
                <w:lang w:val="en-US" w:eastAsia="zh-CN"/>
              </w:rPr>
              <w:t>12:00</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13:00</w:t>
            </w:r>
            <w:r>
              <w:rPr>
                <w:rFonts w:hint="eastAsia" w:ascii="宋体" w:hAnsi="宋体" w:eastAsia="宋体" w:cs="宋体"/>
                <w:sz w:val="18"/>
                <w:szCs w:val="18"/>
                <w:lang w:val="en-US" w:eastAsia="zh-CN"/>
              </w:rPr>
              <w:t>～</w:t>
            </w:r>
            <w:r>
              <w:rPr>
                <w:rFonts w:hint="eastAsia" w:asciiTheme="minorEastAsia" w:hAnsiTheme="minorEastAsia" w:eastAsiaTheme="minorEastAsia" w:cstheme="minorEastAsia"/>
                <w:sz w:val="18"/>
                <w:szCs w:val="18"/>
                <w:lang w:val="en-US" w:eastAsia="zh-CN"/>
              </w:rPr>
              <w:t>16:30</w:t>
            </w:r>
          </w:p>
          <w:p>
            <w:pPr>
              <w:snapToGrid w:val="0"/>
              <w:spacing w:line="280" w:lineRule="exact"/>
              <w:jc w:val="left"/>
              <w:rPr>
                <w:b/>
                <w:sz w:val="20"/>
              </w:rPr>
            </w:pPr>
          </w:p>
        </w:tc>
        <w:tc>
          <w:tcPr>
            <w:tcW w:w="6665" w:type="dxa"/>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三、EnMS运行情况：</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1、查看能源评审报告的编制</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2、了解能源使用种类 </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3、 查看确定主要能源使用及识别影响主要能源使用的相关变量的合理性 </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4、了解能源绩效改进和控制措施的实施</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5、了解适用的环境法律和其他要求的获取、识别程序实施情况和合规性评价</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6、查看合规性证明（新扩建的节能评估、节能效果监测或后评估报告、国家限额标准符合性、地方政府下达目标指标的符合性）</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7、了解能源计量管理、计量器具配备率、准确度等</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8、了解主要耗能设备能效测试</w:t>
            </w:r>
          </w:p>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9、了解高耗能淘汰落后设备的识别和更新情况</w:t>
            </w:r>
          </w:p>
        </w:tc>
        <w:tc>
          <w:tcPr>
            <w:tcW w:w="1196" w:type="dxa"/>
            <w:vMerge w:val="restart"/>
            <w:tcBorders>
              <w:right w:val="single" w:color="auto" w:sz="8" w:space="0"/>
            </w:tcBorders>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ISC-201919ISC-JSZJ-292</w:t>
            </w:r>
          </w:p>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 xml:space="preserve"> </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continue"/>
            <w:vAlign w:val="center"/>
          </w:tcPr>
          <w:p>
            <w:pPr>
              <w:snapToGrid w:val="0"/>
              <w:spacing w:line="280" w:lineRule="exact"/>
              <w:jc w:val="left"/>
              <w:rPr>
                <w:b/>
                <w:sz w:val="20"/>
              </w:rPr>
            </w:pPr>
          </w:p>
        </w:tc>
        <w:tc>
          <w:tcPr>
            <w:tcW w:w="6665" w:type="dxa"/>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四、EnMS场所巡查:</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1、巡视生产区域（厂区、车间等主要能源使用区域）</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2、巡视动力设施和辅助设施（锅炉房、高低压配电室、空压站、制冷站、改建/扩建施工现场等）</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3、现场核实能源计量的管理</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4、观察节能设施运行情况</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5、观察监视和测量设备的种类并了解检定/校准情况</w:t>
            </w:r>
          </w:p>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6、观察现场能源的跑冒滴漏现象</w:t>
            </w:r>
          </w:p>
        </w:tc>
        <w:tc>
          <w:tcPr>
            <w:tcW w:w="1196"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12：00~13:00</w:t>
            </w:r>
          </w:p>
        </w:tc>
        <w:tc>
          <w:tcPr>
            <w:tcW w:w="6665" w:type="dxa"/>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中午休息时间</w:t>
            </w:r>
          </w:p>
        </w:tc>
        <w:tc>
          <w:tcPr>
            <w:tcW w:w="1196" w:type="dxa"/>
            <w:vMerge w:val="continue"/>
            <w:tcBorders>
              <w:right w:val="single" w:color="auto" w:sz="8" w:space="0"/>
            </w:tcBorders>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rFonts w:hint="default"/>
                <w:b/>
                <w:sz w:val="20"/>
                <w:lang w:val="en-US"/>
              </w:rPr>
            </w:pPr>
          </w:p>
        </w:tc>
        <w:tc>
          <w:tcPr>
            <w:tcW w:w="1505" w:type="dxa"/>
            <w:vAlign w:val="center"/>
          </w:tcPr>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16:30</w:t>
            </w:r>
            <w:r>
              <w:rPr>
                <w:rFonts w:hint="eastAsia" w:ascii="宋体" w:hAnsi="宋体" w:eastAsia="宋体" w:cs="宋体"/>
                <w:sz w:val="18"/>
                <w:szCs w:val="18"/>
                <w:lang w:val="en-US" w:eastAsia="zh-CN"/>
              </w:rPr>
              <w:t>～</w:t>
            </w:r>
            <w:r>
              <w:rPr>
                <w:rFonts w:hint="eastAsia" w:asciiTheme="minorEastAsia" w:hAnsiTheme="minorEastAsia" w:eastAsiaTheme="minorEastAsia" w:cstheme="minorEastAsia"/>
                <w:sz w:val="18"/>
                <w:szCs w:val="18"/>
                <w:lang w:val="en-US" w:eastAsia="zh-CN"/>
              </w:rPr>
              <w:t>17:00</w:t>
            </w:r>
          </w:p>
        </w:tc>
        <w:tc>
          <w:tcPr>
            <w:tcW w:w="6665" w:type="dxa"/>
            <w:vAlign w:val="center"/>
          </w:tcPr>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末次会议</w:t>
            </w:r>
          </w:p>
        </w:tc>
        <w:tc>
          <w:tcPr>
            <w:tcW w:w="1196" w:type="dxa"/>
            <w:tcBorders>
              <w:right w:val="single" w:color="auto" w:sz="8" w:space="0"/>
            </w:tcBorders>
            <w:vAlign w:val="center"/>
          </w:tcPr>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ISC-201919</w:t>
            </w:r>
          </w:p>
          <w:p>
            <w:pPr>
              <w:snapToGrid w:val="0"/>
              <w:spacing w:line="28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ISC-14142</w:t>
            </w:r>
          </w:p>
          <w:p>
            <w:pPr>
              <w:snapToGrid w:val="0"/>
              <w:spacing w:line="280" w:lineRule="exact"/>
              <w:jc w:val="left"/>
              <w:rPr>
                <w:b/>
                <w:sz w:val="20"/>
              </w:rPr>
            </w:pPr>
            <w:r>
              <w:rPr>
                <w:rFonts w:hint="eastAsia" w:asciiTheme="minorEastAsia" w:hAnsiTheme="minorEastAsia" w:eastAsiaTheme="minorEastAsia" w:cstheme="minorEastAsia"/>
                <w:sz w:val="18"/>
                <w:szCs w:val="18"/>
                <w:lang w:val="en-US" w:eastAsia="zh-CN"/>
              </w:rPr>
              <w:t>（ISC-JSZJ-292）</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4197350</wp:posOffset>
              </wp:positionH>
              <wp:positionV relativeFrom="paragraph">
                <wp:posOffset>27940</wp:posOffset>
              </wp:positionV>
              <wp:extent cx="1974850" cy="256540"/>
              <wp:effectExtent l="0" t="0" r="6350" b="10160"/>
              <wp:wrapNone/>
              <wp:docPr id="3" name="文本框 1025"/>
              <wp:cNvGraphicFramePr/>
              <a:graphic xmlns:a="http://schemas.openxmlformats.org/drawingml/2006/main">
                <a:graphicData uri="http://schemas.microsoft.com/office/word/2010/wordprocessingShape">
                  <wps:wsp>
                    <wps:cNvSpPr txBox="1"/>
                    <wps:spPr>
                      <a:xfrm>
                        <a:off x="0" y="0"/>
                        <a:ext cx="197485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-I-05 一阶段审核计划(03版)</w:t>
                          </w:r>
                        </w:p>
                      </w:txbxContent>
                    </wps:txbx>
                    <wps:bodyPr upright="1"/>
                  </wps:wsp>
                </a:graphicData>
              </a:graphic>
            </wp:anchor>
          </w:drawing>
        </mc:Choice>
        <mc:Fallback>
          <w:pict>
            <v:shape id="文本框 1025" o:spid="_x0000_s1026" o:spt="202" type="#_x0000_t202" style="position:absolute;left:0pt;margin-left:330.5pt;margin-top:2.2pt;height:20.2pt;width:155.5pt;z-index:251659264;mso-width-relative:page;mso-height-relative:page;" fillcolor="#FFFFFF" filled="t" stroked="f" coordsize="21600,21600" o:gfxdata="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hYY7dUAAAAIAQAADwAAAAAAAAABACAAAAAiAAAAZHJzL2Rvd25yZXYu&#10;eG1sUEsBAhQAFAAAAAgAh07iQIQzOd/FAQAAegMAAA4AAAAAAAAAAQAgAAAAJA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-I-05 一阶段审核计划(03版)</w:t>
                    </w:r>
                  </w:p>
                </w:txbxContent>
              </v:textbox>
            </v:shape>
          </w:pict>
        </mc:Fallback>
      </mc:AlternateConten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16D3B"/>
    <w:rsid w:val="22D84537"/>
    <w:rsid w:val="4D257E0D"/>
    <w:rsid w:val="528343ED"/>
    <w:rsid w:val="538E0122"/>
    <w:rsid w:val="76DA08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1</TotalTime>
  <ScaleCrop>false</ScaleCrop>
  <LinksUpToDate>false</LinksUpToDate>
  <CharactersWithSpaces>1267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TonyJiang</cp:lastModifiedBy>
  <cp:lastPrinted>2019-03-27T03:10:00Z</cp:lastPrinted>
  <dcterms:modified xsi:type="dcterms:W3CDTF">2021-07-12T06:59:14Z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7D7C45F867B74FB3B8E4E0470A9D95F6</vt:lpwstr>
  </property>
</Properties>
</file>