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成都通德药业有限公司</w:t>
      </w:r>
      <w:bookmarkEnd w:id="0"/>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1" w:name="Q勾选"/>
      <w:r>
        <w:rPr>
          <w:rFonts w:hint="eastAsia" w:ascii="楷体" w:hAnsi="楷体" w:eastAsia="楷体"/>
          <w:b/>
          <w:color w:val="000000" w:themeColor="text1"/>
          <w:sz w:val="32"/>
          <w:szCs w:val="32"/>
        </w:rPr>
        <w:t>■</w:t>
      </w:r>
      <w:bookmarkEnd w:id="1"/>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2" w:name="E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3" w:name="S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2"/>
          <w:rFonts w:hint="eastAsia" w:ascii="楷体" w:hAnsi="楷体" w:eastAsia="楷体"/>
          <w:b/>
          <w:sz w:val="36"/>
          <w:szCs w:val="36"/>
        </w:rPr>
        <w:t>www.china-isc.org.cn</w:t>
      </w:r>
      <w:r>
        <w:fldChar w:fldCharType="end"/>
      </w:r>
    </w:p>
    <w:p>
      <w:pPr>
        <w:pStyle w:val="13"/>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9"/>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李林</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任亚辉</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Q:实习审核员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张安玲</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Q:专家</w:t>
            </w:r>
          </w:p>
          <w:p>
            <w:pPr>
              <w:spacing w:line="240" w:lineRule="exact"/>
              <w:jc w:val="center"/>
              <w:rPr>
                <w:b/>
                <w:color w:val="000000" w:themeColor="text1"/>
                <w:sz w:val="20"/>
                <w:szCs w:val="20"/>
              </w:rPr>
            </w:pPr>
            <w:r>
              <w:rPr>
                <w:b/>
                <w:color w:val="000000" w:themeColor="text1"/>
                <w:sz w:val="20"/>
                <w:szCs w:val="20"/>
              </w:rPr>
              <w:t>E:专家</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Q:13.01.00,13.02.00</w:t>
            </w:r>
          </w:p>
          <w:p>
            <w:pPr>
              <w:spacing w:line="240" w:lineRule="exact"/>
              <w:jc w:val="center"/>
              <w:rPr>
                <w:b/>
                <w:color w:val="000000" w:themeColor="text1"/>
                <w:sz w:val="20"/>
                <w:szCs w:val="20"/>
              </w:rPr>
            </w:pPr>
            <w:r>
              <w:rPr>
                <w:b/>
                <w:color w:val="000000" w:themeColor="text1"/>
                <w:sz w:val="20"/>
                <w:szCs w:val="20"/>
              </w:rPr>
              <w:t>E:13.01.00,13.02.00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余家龙</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Q:13.02.00</w:t>
            </w:r>
          </w:p>
          <w:p>
            <w:pPr>
              <w:spacing w:line="240" w:lineRule="exact"/>
              <w:jc w:val="center"/>
              <w:rPr>
                <w:b/>
                <w:color w:val="000000" w:themeColor="text1"/>
                <w:sz w:val="20"/>
                <w:szCs w:val="20"/>
              </w:rPr>
            </w:pPr>
            <w:r>
              <w:rPr>
                <w:b/>
                <w:color w:val="000000" w:themeColor="text1"/>
                <w:sz w:val="20"/>
                <w:szCs w:val="20"/>
              </w:rPr>
              <w:t>E:13.02.00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3"/>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10"/>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sym w:font="Wingdings 2" w:char="0052"/>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sym w:font="Wingdings 2" w:char="0052"/>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3"/>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hint="eastAsia" w:ascii="宋体" w:hAnsi="宋体"/>
          <w:b/>
          <w:color w:val="000000" w:themeColor="text1"/>
          <w:spacing w:val="-10"/>
          <w:sz w:val="20"/>
          <w:szCs w:val="20"/>
        </w:rPr>
      </w:pPr>
      <w:bookmarkStart w:id="4" w:name="审核依据"/>
      <w:r>
        <w:rPr>
          <w:rFonts w:hint="eastAsia" w:ascii="宋体" w:hAnsi="宋体"/>
          <w:b/>
          <w:color w:val="000000" w:themeColor="text1"/>
          <w:spacing w:val="-10"/>
          <w:sz w:val="20"/>
          <w:szCs w:val="20"/>
        </w:rPr>
        <w:t>Q：GB/T19001-2016/ISO9001:2015,E：GB/T 24001-2016/ISO14001:2015</w:t>
      </w:r>
      <w:bookmarkEnd w:id="4"/>
    </w:p>
    <w:p>
      <w:pPr>
        <w:pStyle w:val="13"/>
        <w:numPr>
          <w:ilvl w:val="0"/>
          <w:numId w:val="1"/>
        </w:numPr>
        <w:ind w:left="-142" w:hanging="709" w:firstLineChars="0"/>
        <w:rPr>
          <w:rFonts w:hint="eastAsia" w:ascii="宋体" w:hAnsi="宋体"/>
          <w:b/>
          <w:color w:val="000000" w:themeColor="text1"/>
          <w:sz w:val="26"/>
          <w:szCs w:val="26"/>
        </w:rPr>
      </w:pPr>
      <w:r>
        <w:rPr>
          <w:rFonts w:hint="eastAsia" w:ascii="宋体" w:hAnsi="宋体"/>
          <w:b/>
          <w:color w:val="000000" w:themeColor="text1"/>
          <w:sz w:val="26"/>
          <w:szCs w:val="26"/>
        </w:rPr>
        <w:t>受审核方基本信息</w:t>
      </w:r>
    </w:p>
    <w:tbl>
      <w:tblPr>
        <w:tblStyle w:val="9"/>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成都通德药业有限公司</w:t>
            </w:r>
            <w:bookmarkEnd w:id="5"/>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hint="default"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175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6" w:name="注册地址"/>
            <w:r>
              <w:rPr>
                <w:rFonts w:ascii="宋体" w:hAnsi="宋体"/>
                <w:b/>
                <w:color w:val="000000" w:themeColor="text1"/>
                <w:sz w:val="20"/>
                <w:szCs w:val="20"/>
              </w:rPr>
              <w:t>成都海峡两岸科技产业开发园柳台大道B段</w:t>
            </w:r>
            <w:bookmarkEnd w:id="6"/>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7" w:name="注册邮编"/>
            <w:r>
              <w:rPr>
                <w:rFonts w:ascii="宋体" w:hAnsi="宋体"/>
                <w:b/>
                <w:color w:val="000000" w:themeColor="text1"/>
                <w:spacing w:val="-20"/>
                <w:sz w:val="20"/>
                <w:szCs w:val="20"/>
              </w:rPr>
              <w:t>611130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8" w:name="办公地址"/>
            <w:r>
              <w:rPr>
                <w:rFonts w:ascii="宋体" w:hAnsi="宋体"/>
                <w:b/>
                <w:color w:val="000000" w:themeColor="text1"/>
                <w:sz w:val="20"/>
                <w:szCs w:val="20"/>
              </w:rPr>
              <w:t>四川省成都市温江区海峡两岸科技产业开发园柳台大道B段222号</w:t>
            </w:r>
            <w:bookmarkEnd w:id="8"/>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9" w:name="办公邮编"/>
            <w:r>
              <w:rPr>
                <w:rFonts w:ascii="宋体" w:hAnsi="宋体"/>
                <w:b/>
                <w:color w:val="000000" w:themeColor="text1"/>
                <w:sz w:val="20"/>
                <w:szCs w:val="20"/>
              </w:rPr>
              <w:t>611130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0" w:name="联系人"/>
            <w:r>
              <w:rPr>
                <w:rFonts w:ascii="宋体" w:hAnsi="宋体"/>
                <w:b/>
                <w:color w:val="000000" w:themeColor="text1"/>
                <w:sz w:val="20"/>
                <w:szCs w:val="20"/>
              </w:rPr>
              <w:t>武银娜</w:t>
            </w:r>
            <w:bookmarkEnd w:id="10"/>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1" w:name="联系人电话"/>
            <w:r>
              <w:rPr>
                <w:rFonts w:ascii="宋体" w:hAnsi="宋体"/>
                <w:b/>
                <w:color w:val="000000" w:themeColor="text1"/>
                <w:sz w:val="20"/>
                <w:szCs w:val="20"/>
              </w:rPr>
              <w:t>028-67233711</w:t>
            </w:r>
            <w:bookmarkEnd w:id="11"/>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3" w:name="法人"/>
            <w:r>
              <w:rPr>
                <w:rFonts w:ascii="宋体" w:hAnsi="宋体"/>
                <w:b/>
                <w:color w:val="000000" w:themeColor="text1"/>
                <w:sz w:val="20"/>
                <w:szCs w:val="20"/>
              </w:rPr>
              <w:t>罗文彬</w:t>
            </w:r>
            <w:bookmarkEnd w:id="13"/>
          </w:p>
        </w:tc>
        <w:tc>
          <w:tcPr>
            <w:tcW w:w="1362" w:type="dxa"/>
            <w:gridSpan w:val="2"/>
            <w:vAlign w:val="center"/>
          </w:tcPr>
          <w:p>
            <w:pPr>
              <w:spacing w:line="320" w:lineRule="exact"/>
              <w:jc w:val="center"/>
              <w:rPr>
                <w:rFonts w:ascii="宋体" w:hAnsi="宋体" w:cs="Times New Roman"/>
                <w:b/>
                <w:color w:val="000000" w:themeColor="text1"/>
                <w:sz w:val="20"/>
                <w:szCs w:val="20"/>
              </w:rPr>
            </w:pPr>
            <w:r>
              <w:rPr>
                <w:rFonts w:hint="eastAsia" w:ascii="宋体" w:hAnsi="宋体" w:cs="Times New Roman"/>
                <w:b/>
                <w:color w:val="000000" w:themeColor="text1"/>
                <w:sz w:val="20"/>
                <w:szCs w:val="20"/>
              </w:rPr>
              <w:t>最高管理者</w:t>
            </w:r>
          </w:p>
        </w:tc>
        <w:tc>
          <w:tcPr>
            <w:tcW w:w="1518" w:type="dxa"/>
            <w:gridSpan w:val="2"/>
            <w:vAlign w:val="center"/>
          </w:tcPr>
          <w:p>
            <w:pPr>
              <w:spacing w:line="320" w:lineRule="exact"/>
              <w:jc w:val="center"/>
              <w:rPr>
                <w:rFonts w:ascii="宋体" w:hAnsi="宋体" w:cs="Times New Roman"/>
                <w:b/>
                <w:color w:val="000000" w:themeColor="text1"/>
                <w:sz w:val="20"/>
                <w:szCs w:val="20"/>
              </w:rPr>
            </w:pPr>
            <w:bookmarkStart w:id="14" w:name="最高管理者"/>
            <w:bookmarkEnd w:id="14"/>
            <w:r>
              <w:rPr>
                <w:rFonts w:hint="eastAsia" w:ascii="宋体" w:hAnsi="宋体" w:cs="Times New Roman"/>
                <w:b/>
                <w:color w:val="000000" w:themeColor="text1"/>
                <w:sz w:val="20"/>
                <w:szCs w:val="20"/>
                <w:lang w:eastAsia="zh-CN"/>
              </w:rPr>
              <w:t>李晓琳</w:t>
            </w:r>
          </w:p>
        </w:tc>
        <w:tc>
          <w:tcPr>
            <w:tcW w:w="1440" w:type="dxa"/>
            <w:gridSpan w:val="5"/>
            <w:vAlign w:val="center"/>
          </w:tcPr>
          <w:p>
            <w:pPr>
              <w:spacing w:line="320" w:lineRule="exact"/>
              <w:jc w:val="center"/>
              <w:rPr>
                <w:rFonts w:ascii="宋体" w:hAnsi="宋体" w:cs="Times New Roman"/>
                <w:b/>
                <w:color w:val="000000" w:themeColor="text1"/>
                <w:sz w:val="20"/>
                <w:szCs w:val="20"/>
              </w:rPr>
            </w:pPr>
            <w:r>
              <w:rPr>
                <w:rFonts w:hint="eastAsia" w:ascii="宋体" w:hAnsi="宋体" w:cs="Times New Roman"/>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r>
              <w:rPr>
                <w:rFonts w:hint="eastAsia" w:ascii="宋体" w:hAnsi="宋体" w:cs="Times New Roman"/>
                <w:b/>
                <w:color w:val="000000" w:themeColor="text1"/>
                <w:sz w:val="20"/>
                <w:szCs w:val="20"/>
                <w:lang w:val="en-US" w:eastAsia="zh-CN"/>
              </w:rPr>
              <w:t>彭晓华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5" w:name="审核范围"/>
            <w:r>
              <w:rPr>
                <w:rFonts w:ascii="宋体" w:hAnsi="宋体"/>
                <w:b/>
                <w:color w:val="000000" w:themeColor="text1"/>
                <w:sz w:val="20"/>
                <w:szCs w:val="20"/>
              </w:rPr>
              <w:t>Q：粉针剂、片剂（含中药提取）、硬胶囊剂、颗粒剂（含中药提取）、原料药的生产（资质范围内）</w:t>
            </w:r>
          </w:p>
          <w:p>
            <w:pPr>
              <w:spacing w:line="320" w:lineRule="exact"/>
              <w:rPr>
                <w:rFonts w:ascii="宋体" w:hAnsi="宋体"/>
                <w:b/>
                <w:color w:val="000000" w:themeColor="text1"/>
                <w:sz w:val="20"/>
                <w:szCs w:val="20"/>
              </w:rPr>
            </w:pPr>
            <w:r>
              <w:rPr>
                <w:rFonts w:ascii="宋体" w:hAnsi="宋体"/>
                <w:b/>
                <w:color w:val="000000" w:themeColor="text1"/>
                <w:sz w:val="20"/>
                <w:szCs w:val="20"/>
              </w:rPr>
              <w:t>E：粉针剂、片剂（含中药提取）、硬胶囊剂、颗粒剂（含中药提取）、原料药的生产（资质范围内）所涉及场所的相关环境管理活动</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6" w:name="专业代码"/>
            <w:r>
              <w:rPr>
                <w:rFonts w:ascii="宋体" w:hAnsi="宋体"/>
                <w:b/>
                <w:color w:val="000000" w:themeColor="text1"/>
                <w:sz w:val="20"/>
                <w:szCs w:val="20"/>
              </w:rPr>
              <w:t>Q：13.01.00;13.02.00</w:t>
            </w:r>
          </w:p>
          <w:p>
            <w:pPr>
              <w:spacing w:line="320" w:lineRule="exact"/>
              <w:rPr>
                <w:rFonts w:ascii="宋体" w:hAnsi="宋体"/>
                <w:b/>
                <w:color w:val="000000" w:themeColor="text1"/>
                <w:sz w:val="20"/>
                <w:szCs w:val="20"/>
              </w:rPr>
            </w:pPr>
            <w:r>
              <w:rPr>
                <w:rFonts w:ascii="宋体" w:hAnsi="宋体"/>
                <w:b/>
                <w:color w:val="000000" w:themeColor="text1"/>
                <w:sz w:val="20"/>
                <w:szCs w:val="20"/>
              </w:rPr>
              <w:t>E：13.01.00;13.02.00</w:t>
            </w:r>
            <w:bookmarkEnd w:id="16"/>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sym w:font="Wingdings 2" w:char="0052"/>
            </w: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17" w:name="体系运行时间"/>
            <w:r>
              <w:rPr>
                <w:rFonts w:ascii="宋体" w:hAnsi="宋体"/>
                <w:b/>
                <w:color w:val="000000" w:themeColor="text1"/>
                <w:sz w:val="20"/>
                <w:szCs w:val="20"/>
              </w:rPr>
              <w:t>2021-01-10 0:00:00</w:t>
            </w:r>
            <w:bookmarkEnd w:id="17"/>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10"/>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highlight w:val="none"/>
              </w:rPr>
            </w:pPr>
            <w:r>
              <w:rPr>
                <w:rFonts w:hint="eastAsia" w:ascii="宋体" w:hAnsi="宋体"/>
                <w:b/>
                <w:color w:val="000000" w:themeColor="text1"/>
                <w:sz w:val="20"/>
                <w:szCs w:val="20"/>
                <w:highlight w:val="none"/>
              </w:rPr>
              <w:t>部门</w:t>
            </w:r>
            <w:r>
              <w:rPr>
                <w:rFonts w:hint="eastAsia" w:ascii="宋体" w:hAnsi="宋体"/>
                <w:b/>
                <w:color w:val="000000" w:themeColor="text1"/>
                <w:spacing w:val="-2"/>
                <w:sz w:val="20"/>
                <w:szCs w:val="20"/>
                <w:highlight w:val="none"/>
              </w:rPr>
              <w:t>:</w:t>
            </w:r>
          </w:p>
        </w:tc>
        <w:tc>
          <w:tcPr>
            <w:tcW w:w="6804" w:type="dxa"/>
          </w:tcPr>
          <w:p>
            <w:pPr>
              <w:jc w:val="center"/>
              <w:rPr>
                <w:rFonts w:ascii="宋体" w:hAnsi="宋体"/>
                <w:b/>
                <w:color w:val="000000" w:themeColor="text1"/>
                <w:sz w:val="20"/>
                <w:szCs w:val="20"/>
                <w:highlight w:val="none"/>
              </w:rPr>
            </w:pPr>
            <w:r>
              <w:rPr>
                <w:rFonts w:hint="eastAsia" w:ascii="宋体" w:hAnsi="宋体"/>
                <w:b/>
                <w:color w:val="000000" w:themeColor="text1"/>
                <w:sz w:val="20"/>
                <w:szCs w:val="20"/>
                <w:highlight w:val="none"/>
              </w:rPr>
              <w:t>职能或过程</w:t>
            </w:r>
            <w:r>
              <w:rPr>
                <w:rFonts w:hint="eastAsia" w:ascii="宋体" w:hAnsi="宋体"/>
                <w:b/>
                <w:color w:val="000000" w:themeColor="text1"/>
                <w:spacing w:val="-2"/>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center"/>
          </w:tcPr>
          <w:p>
            <w:pPr>
              <w:jc w:val="center"/>
              <w:rPr>
                <w:rFonts w:ascii="宋体" w:hAnsi="宋体" w:eastAsia="宋体" w:cs="Times New Roman"/>
                <w:b/>
                <w:color w:val="000000" w:themeColor="text1"/>
                <w:kern w:val="2"/>
                <w:sz w:val="20"/>
                <w:szCs w:val="20"/>
                <w:highlight w:val="none"/>
                <w:lang w:val="en-US" w:eastAsia="zh-CN" w:bidi="ar-SA"/>
              </w:rPr>
            </w:pPr>
            <w:r>
              <w:rPr>
                <w:rFonts w:hint="eastAsia" w:ascii="宋体" w:hAnsi="宋体"/>
                <w:b/>
                <w:color w:val="000000"/>
                <w:lang w:eastAsia="zh-CN"/>
              </w:rPr>
              <w:t>总经办</w:t>
            </w:r>
          </w:p>
        </w:tc>
        <w:tc>
          <w:tcPr>
            <w:tcW w:w="6804" w:type="dxa"/>
            <w:vAlign w:val="top"/>
          </w:tcPr>
          <w:p>
            <w:pPr>
              <w:jc w:val="left"/>
              <w:rPr>
                <w:rFonts w:ascii="宋体" w:hAnsi="宋体" w:eastAsia="宋体" w:cs="Times New Roman"/>
                <w:b/>
                <w:color w:val="000000" w:themeColor="text1"/>
                <w:spacing w:val="-20"/>
                <w:kern w:val="2"/>
                <w:sz w:val="20"/>
                <w:szCs w:val="20"/>
                <w:highlight w:val="none"/>
                <w:u w:val="single"/>
                <w:lang w:val="en-US" w:eastAsia="zh-CN" w:bidi="ar-SA"/>
              </w:rPr>
            </w:pPr>
            <w:r>
              <w:rPr>
                <w:rFonts w:hint="eastAsia" w:ascii="宋体" w:hAnsi="宋体"/>
                <w:b/>
                <w:color w:val="000000" w:themeColor="text1"/>
                <w:sz w:val="20"/>
                <w:szCs w:val="20"/>
                <w:highlight w:val="none"/>
              </w:rPr>
              <w:t>方针、目标管理；文件、记录控制程；管理评审；内审管理；人员、部门职能职责和权限；风险识别评价管理；环境因素识别评价管理。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center"/>
          </w:tcPr>
          <w:p>
            <w:pPr>
              <w:jc w:val="center"/>
              <w:rPr>
                <w:rFonts w:hint="default" w:ascii="宋体" w:hAnsi="宋体" w:eastAsia="宋体" w:cs="Times New Roman"/>
                <w:b/>
                <w:color w:val="000000" w:themeColor="text1"/>
                <w:kern w:val="2"/>
                <w:sz w:val="20"/>
                <w:szCs w:val="20"/>
                <w:highlight w:val="none"/>
                <w:lang w:val="en-US" w:eastAsia="zh-CN" w:bidi="ar-SA"/>
              </w:rPr>
            </w:pPr>
            <w:r>
              <w:rPr>
                <w:rFonts w:hint="eastAsia" w:ascii="宋体" w:hAnsi="宋体" w:eastAsia="宋体" w:cs="Times New Roman"/>
                <w:b/>
                <w:color w:val="000000" w:themeColor="text1"/>
                <w:kern w:val="2"/>
                <w:sz w:val="20"/>
                <w:szCs w:val="20"/>
                <w:highlight w:val="none"/>
                <w:lang w:val="en-US" w:eastAsia="zh-CN" w:bidi="ar-SA"/>
              </w:rPr>
              <w:t>生产部、质量部</w:t>
            </w:r>
          </w:p>
        </w:tc>
        <w:tc>
          <w:tcPr>
            <w:tcW w:w="6804" w:type="dxa"/>
            <w:vAlign w:val="top"/>
          </w:tcPr>
          <w:p>
            <w:pPr>
              <w:jc w:val="left"/>
              <w:rPr>
                <w:rFonts w:ascii="宋体" w:hAnsi="宋体" w:eastAsia="宋体" w:cs="Times New Roman"/>
                <w:b/>
                <w:color w:val="000000" w:themeColor="text1"/>
                <w:spacing w:val="-20"/>
                <w:kern w:val="2"/>
                <w:sz w:val="20"/>
                <w:szCs w:val="20"/>
                <w:highlight w:val="none"/>
                <w:u w:val="single"/>
                <w:lang w:val="en-US" w:eastAsia="zh-CN" w:bidi="ar-SA"/>
              </w:rPr>
            </w:pPr>
            <w:r>
              <w:rPr>
                <w:rFonts w:hint="eastAsia" w:ascii="宋体" w:hAnsi="宋体"/>
                <w:b/>
                <w:color w:val="000000" w:themeColor="text1"/>
                <w:sz w:val="20"/>
                <w:szCs w:val="20"/>
                <w:highlight w:val="none"/>
              </w:rPr>
              <w:t>不合格品控制；纠正和预防措施控制；策划管理；过程监控管理；产品验收管理；监视和测量设备管理；过程管理；设备设施管理</w:t>
            </w:r>
            <w:r>
              <w:rPr>
                <w:rFonts w:hint="eastAsia" w:ascii="宋体" w:hAnsi="宋体"/>
                <w:b/>
                <w:color w:val="000000" w:themeColor="text1"/>
                <w:sz w:val="20"/>
                <w:szCs w:val="20"/>
                <w:highlight w:val="none"/>
                <w:lang w:eastAsia="zh-CN"/>
              </w:rPr>
              <w:t>；</w:t>
            </w:r>
            <w:r>
              <w:rPr>
                <w:rFonts w:hint="eastAsia" w:ascii="宋体" w:hAnsi="宋体"/>
                <w:b/>
                <w:color w:val="000000" w:themeColor="text1"/>
                <w:sz w:val="20"/>
                <w:szCs w:val="20"/>
                <w:highlight w:val="none"/>
              </w:rPr>
              <w:t>；产品验收管理；监视和测量设备管理；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center"/>
          </w:tcPr>
          <w:p>
            <w:pPr>
              <w:jc w:val="center"/>
              <w:rPr>
                <w:rFonts w:ascii="宋体" w:hAnsi="宋体" w:eastAsia="宋体" w:cs="Times New Roman"/>
                <w:b/>
                <w:color w:val="000000" w:themeColor="text1"/>
                <w:kern w:val="2"/>
                <w:sz w:val="20"/>
                <w:szCs w:val="20"/>
                <w:highlight w:val="none"/>
                <w:lang w:val="en-US" w:eastAsia="zh-CN" w:bidi="ar-SA"/>
              </w:rPr>
            </w:pPr>
            <w:r>
              <w:rPr>
                <w:rFonts w:hint="eastAsia" w:ascii="宋体" w:hAnsi="宋体"/>
                <w:b/>
                <w:color w:val="000000" w:themeColor="text1"/>
                <w:sz w:val="20"/>
                <w:szCs w:val="20"/>
                <w:highlight w:val="none"/>
                <w:lang w:val="en-US" w:eastAsia="zh-CN"/>
              </w:rPr>
              <w:t>市场部</w:t>
            </w:r>
          </w:p>
        </w:tc>
        <w:tc>
          <w:tcPr>
            <w:tcW w:w="6804" w:type="dxa"/>
            <w:vAlign w:val="top"/>
          </w:tcPr>
          <w:p>
            <w:pPr>
              <w:jc w:val="left"/>
              <w:rPr>
                <w:rFonts w:hint="eastAsia" w:ascii="宋体" w:hAnsi="宋体" w:eastAsia="宋体" w:cs="Times New Roman"/>
                <w:b/>
                <w:color w:val="000000" w:themeColor="text1"/>
                <w:kern w:val="2"/>
                <w:sz w:val="20"/>
                <w:szCs w:val="20"/>
                <w:highlight w:val="none"/>
                <w:lang w:val="en-US" w:eastAsia="zh-CN" w:bidi="ar-SA"/>
              </w:rPr>
            </w:pPr>
            <w:r>
              <w:rPr>
                <w:rFonts w:hint="eastAsia" w:ascii="宋体" w:hAnsi="宋体"/>
                <w:b/>
                <w:color w:val="000000" w:themeColor="text1"/>
                <w:sz w:val="20"/>
                <w:szCs w:val="20"/>
                <w:highlight w:val="none"/>
              </w:rPr>
              <w:t>合同管理；客户管理</w:t>
            </w:r>
            <w:r>
              <w:rPr>
                <w:rFonts w:hint="eastAsia" w:ascii="宋体" w:hAnsi="宋体"/>
                <w:b/>
                <w:color w:val="000000" w:themeColor="text1"/>
                <w:sz w:val="20"/>
                <w:szCs w:val="20"/>
                <w:highlight w:val="none"/>
                <w:lang w:eastAsia="zh-CN"/>
              </w:rPr>
              <w:t>；</w:t>
            </w:r>
            <w:r>
              <w:rPr>
                <w:rFonts w:hint="eastAsia" w:ascii="宋体" w:hAnsi="宋体"/>
                <w:b/>
                <w:color w:val="000000" w:themeColor="text1"/>
                <w:sz w:val="20"/>
                <w:szCs w:val="20"/>
                <w:highlight w:val="none"/>
              </w:rPr>
              <w:t>采购管理；供方管理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highlight w:val="none"/>
              </w:rPr>
            </w:pPr>
          </w:p>
        </w:tc>
        <w:tc>
          <w:tcPr>
            <w:tcW w:w="6804" w:type="dxa"/>
          </w:tcPr>
          <w:p>
            <w:pPr>
              <w:jc w:val="center"/>
              <w:rPr>
                <w:rFonts w:ascii="宋体" w:hAnsi="宋体"/>
                <w:b/>
                <w:color w:val="000000" w:themeColor="text1"/>
                <w:spacing w:val="-20"/>
                <w:sz w:val="20"/>
                <w:szCs w:val="20"/>
                <w:highlight w:val="none"/>
                <w:u w:val="single"/>
              </w:rPr>
            </w:pP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10"/>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10"/>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84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2519"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843" w:type="dxa"/>
          </w:tcPr>
          <w:p>
            <w:pPr>
              <w:rPr>
                <w:b/>
                <w:color w:val="000000" w:themeColor="text1"/>
                <w:sz w:val="20"/>
                <w:szCs w:val="20"/>
              </w:rPr>
            </w:pPr>
            <w:r>
              <w:rPr>
                <w:rFonts w:hint="eastAsia"/>
                <w:b/>
                <w:color w:val="000000" w:themeColor="text1"/>
                <w:sz w:val="20"/>
                <w:szCs w:val="20"/>
              </w:rPr>
              <w:t>规格</w:t>
            </w:r>
          </w:p>
        </w:tc>
        <w:tc>
          <w:tcPr>
            <w:tcW w:w="3543"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rFonts w:hint="eastAsia" w:eastAsia="宋体"/>
                <w:b/>
                <w:color w:val="000000" w:themeColor="text1"/>
                <w:sz w:val="20"/>
                <w:szCs w:val="20"/>
                <w:highlight w:val="none"/>
                <w:lang w:eastAsia="zh-CN"/>
              </w:rPr>
            </w:pPr>
            <w:r>
              <w:rPr>
                <w:rFonts w:hint="eastAsia" w:ascii="宋体" w:hAnsi="宋体"/>
                <w:szCs w:val="21"/>
                <w:highlight w:val="none"/>
              </w:rPr>
              <w:t>粉针剂、片剂（含中药提取）、硬胶囊剂、颗粒剂（含中药提取）、原料药的生产（资质范围内</w:t>
            </w:r>
            <w:r>
              <w:rPr>
                <w:rFonts w:hint="eastAsia" w:ascii="宋体" w:hAnsi="宋体"/>
                <w:szCs w:val="21"/>
                <w:highlight w:val="none"/>
                <w:lang w:eastAsia="zh-CN"/>
              </w:rPr>
              <w:t>）</w:t>
            </w:r>
          </w:p>
        </w:tc>
        <w:tc>
          <w:tcPr>
            <w:tcW w:w="2519" w:type="dxa"/>
          </w:tcPr>
          <w:p>
            <w:pPr>
              <w:rPr>
                <w:b/>
                <w:color w:val="000000" w:themeColor="text1"/>
                <w:sz w:val="20"/>
                <w:szCs w:val="20"/>
                <w:highlight w:val="none"/>
              </w:rPr>
            </w:pPr>
          </w:p>
        </w:tc>
        <w:tc>
          <w:tcPr>
            <w:tcW w:w="1843" w:type="dxa"/>
          </w:tcPr>
          <w:p>
            <w:pPr>
              <w:jc w:val="left"/>
              <w:rPr>
                <w:rFonts w:hint="eastAsia" w:ascii="宋体" w:hAnsi="宋体"/>
                <w:szCs w:val="21"/>
                <w:highlight w:val="none"/>
              </w:rPr>
            </w:pPr>
          </w:p>
        </w:tc>
        <w:tc>
          <w:tcPr>
            <w:tcW w:w="3543" w:type="dxa"/>
          </w:tcPr>
          <w:p>
            <w:pPr>
              <w:jc w:val="left"/>
              <w:rPr>
                <w:rFonts w:hint="eastAsia" w:ascii="宋体" w:hAnsi="宋体"/>
                <w:szCs w:val="21"/>
                <w:highlight w:val="none"/>
              </w:rPr>
            </w:pPr>
            <w:r>
              <w:rPr>
                <w:rFonts w:hint="eastAsia" w:ascii="宋体" w:hAnsi="宋体"/>
                <w:szCs w:val="21"/>
                <w:highlight w:val="none"/>
              </w:rPr>
              <w:t>中国药典2015年版二部、国家食品药品监督管理总局药品标准YBH00662017、国家药品标准WS1-XG-011-2015、国家药品标准WS1-(YH-002)-2010-2017、国家食品药品监督管理局国家药品标准WS-10001-（HD-0841）-2002、国家食品药品监督管理局国家药品标准(试行）WS-10001-（HD-0214）-2002等</w:t>
            </w: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sym w:font="Wingdings 2" w:char="0052"/>
      </w:r>
      <w:r>
        <w:rPr>
          <w:rFonts w:hint="eastAsia"/>
          <w:b/>
          <w:color w:val="000000" w:themeColor="text1"/>
          <w:spacing w:val="-10"/>
          <w:szCs w:val="21"/>
        </w:rPr>
        <w:t>体系运行开始的</w:t>
      </w:r>
      <w:r>
        <w:rPr>
          <w:rFonts w:hint="eastAsia"/>
          <w:b/>
          <w:color w:val="000000" w:themeColor="text1"/>
          <w:spacing w:val="-10"/>
          <w:szCs w:val="21"/>
          <w:lang w:val="en-US" w:eastAsia="zh-CN"/>
        </w:rPr>
        <w:t>2021年01月10日至2021年05月20日</w:t>
      </w:r>
      <w:r>
        <w:rPr>
          <w:rFonts w:hint="eastAsia"/>
          <w:b/>
          <w:color w:val="000000" w:themeColor="text1"/>
          <w:spacing w:val="-10"/>
          <w:szCs w:val="21"/>
        </w:rPr>
        <w:t>。</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sym w:font="Wingdings 2" w:char="0052"/>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9"/>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highlight w:val="none"/>
              </w:rPr>
            </w:pPr>
            <w:r>
              <w:rPr>
                <w:rFonts w:hint="eastAsia" w:ascii="宋体" w:hAnsi="宋体"/>
                <w:b/>
                <w:color w:val="000000" w:themeColor="text1"/>
                <w:sz w:val="20"/>
                <w:szCs w:val="20"/>
                <w:highlight w:val="none"/>
              </w:rPr>
              <w:t>(一)策划的充分与合理性</w:t>
            </w:r>
          </w:p>
        </w:tc>
        <w:tc>
          <w:tcPr>
            <w:tcW w:w="9198" w:type="dxa"/>
          </w:tcPr>
          <w:p>
            <w:pPr>
              <w:spacing w:line="240" w:lineRule="exact"/>
              <w:rPr>
                <w:b/>
                <w:color w:val="000000" w:themeColor="text1"/>
                <w:sz w:val="20"/>
                <w:szCs w:val="20"/>
                <w:highlight w:val="none"/>
              </w:rPr>
            </w:pPr>
            <w:r>
              <w:rPr>
                <w:b/>
                <w:color w:val="000000" w:themeColor="text1"/>
                <w:sz w:val="20"/>
                <w:szCs w:val="20"/>
                <w:highlight w:val="none"/>
              </w:rPr>
              <w:t>1、</w:t>
            </w:r>
            <w:r>
              <w:rPr>
                <w:rFonts w:hint="eastAsia"/>
                <w:b/>
                <w:color w:val="000000" w:themeColor="text1"/>
                <w:sz w:val="20"/>
                <w:szCs w:val="20"/>
                <w:highlight w:val="none"/>
              </w:rPr>
              <w:t>组织及其环境的识别情况</w:t>
            </w:r>
          </w:p>
          <w:p>
            <w:pPr>
              <w:spacing w:line="240" w:lineRule="exact"/>
              <w:ind w:firstLine="420" w:firstLineChars="200"/>
              <w:rPr>
                <w:b/>
                <w:color w:val="000000" w:themeColor="text1"/>
                <w:sz w:val="20"/>
                <w:szCs w:val="20"/>
                <w:highlight w:val="none"/>
              </w:rPr>
            </w:pPr>
            <w:r>
              <w:rPr>
                <w:rFonts w:hint="eastAsia" w:ascii="宋体" w:hAnsi="宋体"/>
                <w:color w:val="000000" w:themeColor="text1"/>
                <w:highlight w:val="none"/>
              </w:rPr>
              <w:t>组织对内外部因素、相关方需求和期望进行了充分的识别，策划和实施有效。组织确定了体系的边界，基本适用。管理体系</w:t>
            </w:r>
            <w:r>
              <w:rPr>
                <w:rFonts w:hint="eastAsia" w:ascii="宋体" w:hAnsi="宋体"/>
                <w:color w:val="000000" w:themeColor="text1"/>
                <w:highlight w:val="none"/>
                <w:lang w:val="en-US" w:eastAsia="zh-CN"/>
              </w:rPr>
              <w:t>8.3</w:t>
            </w:r>
            <w:r>
              <w:rPr>
                <w:rFonts w:hint="eastAsia" w:ascii="宋体" w:hAnsi="宋体"/>
                <w:color w:val="000000" w:themeColor="text1"/>
                <w:highlight w:val="none"/>
              </w:rPr>
              <w:t>条款</w:t>
            </w:r>
            <w:r>
              <w:rPr>
                <w:rFonts w:hint="eastAsia" w:ascii="宋体" w:hAnsi="宋体"/>
                <w:color w:val="000000" w:themeColor="text1"/>
                <w:highlight w:val="none"/>
                <w:lang w:val="en-US" w:eastAsia="zh-CN"/>
              </w:rPr>
              <w:t>不</w:t>
            </w:r>
            <w:r>
              <w:rPr>
                <w:rFonts w:hint="eastAsia" w:ascii="宋体" w:hAnsi="宋体"/>
                <w:color w:val="000000" w:themeColor="text1"/>
                <w:highlight w:val="none"/>
              </w:rPr>
              <w:t>适用</w:t>
            </w:r>
            <w:r>
              <w:rPr>
                <w:rFonts w:hint="eastAsia" w:ascii="华文楷体" w:hAnsi="华文楷体" w:eastAsia="华文楷体"/>
                <w:bCs/>
                <w:iCs/>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highlight w:val="none"/>
              </w:rPr>
            </w:pPr>
          </w:p>
        </w:tc>
        <w:tc>
          <w:tcPr>
            <w:tcW w:w="9198" w:type="dxa"/>
          </w:tcPr>
          <w:p>
            <w:pPr>
              <w:spacing w:line="240" w:lineRule="exact"/>
              <w:rPr>
                <w:b/>
                <w:color w:val="000000" w:themeColor="text1"/>
                <w:sz w:val="20"/>
                <w:szCs w:val="20"/>
                <w:highlight w:val="none"/>
              </w:rPr>
            </w:pPr>
            <w:r>
              <w:rPr>
                <w:b/>
                <w:color w:val="000000" w:themeColor="text1"/>
                <w:sz w:val="20"/>
                <w:szCs w:val="20"/>
                <w:highlight w:val="none"/>
              </w:rPr>
              <w:t>2、</w:t>
            </w:r>
            <w:r>
              <w:rPr>
                <w:rFonts w:hint="eastAsia"/>
                <w:b/>
                <w:color w:val="000000" w:themeColor="text1"/>
                <w:sz w:val="20"/>
                <w:szCs w:val="20"/>
                <w:highlight w:val="none"/>
              </w:rPr>
              <w:t>相关方需求和期望识别情况</w:t>
            </w:r>
          </w:p>
          <w:p>
            <w:pPr>
              <w:spacing w:line="240" w:lineRule="exact"/>
              <w:ind w:firstLine="420" w:firstLineChars="200"/>
              <w:rPr>
                <w:b/>
                <w:color w:val="000000" w:themeColor="text1"/>
                <w:sz w:val="20"/>
                <w:szCs w:val="20"/>
                <w:highlight w:val="none"/>
              </w:rPr>
            </w:pPr>
            <w:r>
              <w:rPr>
                <w:rFonts w:hint="eastAsia" w:ascii="宋体" w:hAnsi="宋体" w:cs="宋体"/>
                <w:color w:val="000000"/>
                <w:szCs w:val="21"/>
                <w:highlight w:val="none"/>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4"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highlight w:val="none"/>
              </w:rPr>
            </w:pPr>
          </w:p>
        </w:tc>
        <w:tc>
          <w:tcPr>
            <w:tcW w:w="9198" w:type="dxa"/>
          </w:tcPr>
          <w:p>
            <w:pPr>
              <w:spacing w:line="280" w:lineRule="exact"/>
              <w:rPr>
                <w:rFonts w:ascii="宋体" w:hAnsi="宋体"/>
                <w:b/>
                <w:color w:val="000000" w:themeColor="text1"/>
                <w:sz w:val="20"/>
                <w:szCs w:val="20"/>
                <w:highlight w:val="none"/>
              </w:rPr>
            </w:pPr>
            <w:r>
              <w:rPr>
                <w:b/>
                <w:color w:val="000000" w:themeColor="text1"/>
                <w:sz w:val="20"/>
                <w:szCs w:val="20"/>
                <w:highlight w:val="none"/>
              </w:rPr>
              <w:t>3.</w:t>
            </w:r>
            <w:r>
              <w:rPr>
                <w:rFonts w:hint="eastAsia" w:ascii="宋体" w:hAnsi="宋体"/>
                <w:b/>
                <w:color w:val="000000" w:themeColor="text1"/>
                <w:sz w:val="20"/>
                <w:szCs w:val="20"/>
                <w:highlight w:val="none"/>
              </w:rPr>
              <w:t>■质量/■环境（组织</w:t>
            </w:r>
            <w:r>
              <w:rPr>
                <w:rFonts w:hint="eastAsia"/>
                <w:b/>
                <w:color w:val="000000" w:themeColor="text1"/>
                <w:sz w:val="20"/>
                <w:szCs w:val="20"/>
                <w:highlight w:val="none"/>
              </w:rPr>
              <w:t>方针</w:t>
            </w:r>
            <w:r>
              <w:rPr>
                <w:rFonts w:hint="eastAsia" w:ascii="宋体" w:hAnsi="宋体"/>
                <w:b/>
                <w:color w:val="000000" w:themeColor="text1"/>
                <w:sz w:val="20"/>
                <w:szCs w:val="20"/>
                <w:highlight w:val="none"/>
              </w:rPr>
              <w:t>的适宜性/持续适宜性、方针的传达及职工的理解等）</w:t>
            </w:r>
          </w:p>
          <w:p>
            <w:pPr>
              <w:ind w:firstLine="420" w:firstLineChars="200"/>
              <w:jc w:val="left"/>
              <w:rPr>
                <w:rFonts w:hint="eastAsia" w:ascii="宋体" w:hAnsi="宋体" w:eastAsia="宋体" w:cs="Times New Roman"/>
                <w:color w:val="000000" w:themeColor="text1"/>
                <w:highlight w:val="none"/>
              </w:rPr>
            </w:pPr>
            <w:r>
              <w:rPr>
                <w:rFonts w:hint="eastAsia" w:ascii="宋体" w:hAnsi="宋体"/>
                <w:color w:val="000000" w:themeColor="text1"/>
                <w:highlight w:val="none"/>
              </w:rPr>
              <w:t>最高管理者组织制定了方针：现行的管理方针在管理手册有专门的释议，具备适宜性。通过会议、张贴等方式进行传达宣贯，管理绩效表明其方针能够通过管理体系加以有效实施、实现及动态管</w:t>
            </w:r>
            <w:r>
              <w:rPr>
                <w:rFonts w:hint="eastAsia" w:ascii="宋体" w:hAnsi="宋体" w:eastAsia="宋体" w:cs="Times New Roman"/>
                <w:color w:val="000000" w:themeColor="text1"/>
                <w:highlight w:val="none"/>
              </w:rPr>
              <w:t>理，实际未发生变更。</w:t>
            </w:r>
          </w:p>
          <w:p>
            <w:pPr>
              <w:ind w:firstLine="420" w:firstLineChars="200"/>
              <w:jc w:val="left"/>
              <w:rPr>
                <w:rFonts w:hint="default" w:ascii="宋体" w:hAnsi="宋体" w:eastAsia="宋体" w:cs="Times New Roman"/>
                <w:color w:val="000000" w:themeColor="text1"/>
                <w:highlight w:val="none"/>
                <w:lang w:val="en-US" w:eastAsia="zh-CN"/>
              </w:rPr>
            </w:pPr>
            <w:r>
              <w:rPr>
                <w:rFonts w:hint="eastAsia" w:ascii="宋体" w:hAnsi="宋体" w:eastAsia="宋体" w:cs="Times New Roman"/>
                <w:color w:val="000000" w:themeColor="text1"/>
                <w:highlight w:val="none"/>
                <w:lang w:val="en-US" w:eastAsia="zh-CN"/>
              </w:rPr>
              <w:t>管理方针：</w:t>
            </w:r>
          </w:p>
          <w:p>
            <w:pPr>
              <w:ind w:firstLine="420" w:firstLineChars="200"/>
              <w:jc w:val="left"/>
              <w:rPr>
                <w:rFonts w:hint="eastAsia" w:ascii="宋体" w:hAnsi="宋体" w:eastAsia="宋体" w:cs="Times New Roman"/>
                <w:color w:val="000000" w:themeColor="text1"/>
                <w:highlight w:val="none"/>
              </w:rPr>
            </w:pPr>
            <w:r>
              <w:rPr>
                <w:rFonts w:hint="eastAsia" w:ascii="宋体" w:hAnsi="宋体" w:eastAsia="宋体" w:cs="Times New Roman"/>
                <w:color w:val="000000" w:themeColor="text1"/>
                <w:highlight w:val="none"/>
                <w:lang w:eastAsia="zh-CN"/>
              </w:rPr>
              <w:t>以人为本，科技兴厂</w:t>
            </w:r>
            <w:r>
              <w:rPr>
                <w:rFonts w:hint="eastAsia" w:ascii="宋体" w:hAnsi="宋体" w:eastAsia="宋体" w:cs="Times New Roman"/>
                <w:color w:val="000000" w:themeColor="text1"/>
                <w:highlight w:val="none"/>
              </w:rPr>
              <w:t>；</w:t>
            </w:r>
          </w:p>
          <w:p>
            <w:pPr>
              <w:ind w:firstLine="420" w:firstLineChars="200"/>
              <w:jc w:val="left"/>
              <w:rPr>
                <w:rFonts w:hint="eastAsia" w:ascii="宋体" w:hAnsi="宋体" w:eastAsia="宋体" w:cs="Times New Roman"/>
                <w:color w:val="000000" w:themeColor="text1"/>
                <w:highlight w:val="none"/>
              </w:rPr>
            </w:pPr>
            <w:r>
              <w:rPr>
                <w:rFonts w:hint="eastAsia" w:ascii="宋体" w:hAnsi="宋体" w:eastAsia="宋体" w:cs="Times New Roman"/>
                <w:color w:val="000000" w:themeColor="text1"/>
                <w:highlight w:val="none"/>
              </w:rPr>
              <w:t>清洁生产，保护环境，促进环境可持续发展；</w:t>
            </w:r>
          </w:p>
          <w:p>
            <w:pPr>
              <w:ind w:firstLine="420" w:firstLineChars="200"/>
              <w:jc w:val="left"/>
              <w:rPr>
                <w:b/>
                <w:color w:val="000000" w:themeColor="text1"/>
                <w:highlight w:val="none"/>
              </w:rPr>
            </w:pPr>
            <w:r>
              <w:rPr>
                <w:rFonts w:hint="eastAsia" w:ascii="宋体" w:hAnsi="宋体" w:eastAsia="宋体" w:cs="Times New Roman"/>
                <w:color w:val="000000" w:themeColor="text1"/>
                <w:highlight w:val="none"/>
              </w:rPr>
              <w:t>珍爱健康，预防危险，建设</w:t>
            </w:r>
            <w:r>
              <w:rPr>
                <w:rFonts w:hint="eastAsia" w:ascii="宋体" w:hAnsi="宋体" w:eastAsia="宋体" w:cs="Times New Roman"/>
                <w:color w:val="000000" w:themeColor="text1"/>
                <w:highlight w:val="none"/>
                <w:lang w:val="en-US" w:eastAsia="zh-CN"/>
              </w:rPr>
              <w:t>美好生活</w:t>
            </w:r>
            <w:r>
              <w:rPr>
                <w:rFonts w:hint="eastAsia" w:ascii="宋体" w:hAnsi="宋体" w:eastAsia="宋体" w:cs="Times New Roman"/>
                <w:color w:val="000000" w:themeColor="text1"/>
                <w:highlight w:val="none"/>
              </w:rPr>
              <w:t>新家园。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highlight w:val="none"/>
              </w:rPr>
            </w:pPr>
          </w:p>
        </w:tc>
        <w:tc>
          <w:tcPr>
            <w:tcW w:w="9198" w:type="dxa"/>
          </w:tcPr>
          <w:p>
            <w:pPr>
              <w:spacing w:line="240" w:lineRule="exact"/>
              <w:rPr>
                <w:b/>
                <w:color w:val="000000" w:themeColor="text1"/>
                <w:highlight w:val="none"/>
              </w:rPr>
            </w:pPr>
            <w:r>
              <w:rPr>
                <w:b/>
                <w:color w:val="000000" w:themeColor="text1"/>
                <w:highlight w:val="none"/>
              </w:rPr>
              <w:t>4、</w:t>
            </w:r>
            <w:r>
              <w:rPr>
                <w:rFonts w:hint="eastAsia"/>
                <w:b/>
                <w:color w:val="000000" w:themeColor="text1"/>
                <w:highlight w:val="none"/>
              </w:rPr>
              <w:t>风险识别与控制策划（QMS）</w:t>
            </w:r>
          </w:p>
          <w:p>
            <w:pPr>
              <w:spacing w:line="240" w:lineRule="exact"/>
              <w:ind w:firstLine="210" w:firstLineChars="100"/>
              <w:rPr>
                <w:rFonts w:ascii="宋体" w:hAnsi="宋体"/>
                <w:color w:val="000000" w:themeColor="text1"/>
                <w:highlight w:val="none"/>
              </w:rPr>
            </w:pPr>
            <w:r>
              <w:rPr>
                <w:rFonts w:hint="eastAsia" w:ascii="宋体" w:hAnsi="宋体"/>
                <w:color w:val="000000" w:themeColor="text1"/>
                <w:highlight w:val="none"/>
              </w:rPr>
              <w:t>制定并实施了相关程序和安全生产管理制度</w:t>
            </w:r>
            <w:r>
              <w:rPr>
                <w:rFonts w:ascii="宋体" w:hAnsi="宋体"/>
                <w:color w:val="000000" w:themeColor="text1"/>
                <w:highlight w:val="none"/>
              </w:rPr>
              <w:t>，</w:t>
            </w:r>
            <w:r>
              <w:rPr>
                <w:rFonts w:hint="eastAsia" w:ascii="宋体" w:hAnsi="宋体"/>
                <w:color w:val="000000" w:themeColor="text1"/>
                <w:highlight w:val="none"/>
              </w:rPr>
              <w:t>服务过程包括策划、准备、实施、支持服务等。这些过程的主要活动、顺序或相互关系、相关管理作业指导书的规定基本适宜、充分、有效、详细，相关过程的策划良好，实施有序，控制基本有效。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2" w:hRule="atLeast"/>
          <w:jc w:val="center"/>
        </w:trPr>
        <w:tc>
          <w:tcPr>
            <w:tcW w:w="720" w:type="dxa"/>
            <w:vMerge w:val="continue"/>
            <w:vAlign w:val="center"/>
          </w:tcPr>
          <w:p>
            <w:pPr>
              <w:spacing w:line="240" w:lineRule="exact"/>
              <w:jc w:val="center"/>
              <w:rPr>
                <w:b/>
                <w:color w:val="000000" w:themeColor="text1"/>
                <w:sz w:val="20"/>
                <w:highlight w:val="none"/>
              </w:rPr>
            </w:pPr>
          </w:p>
        </w:tc>
        <w:tc>
          <w:tcPr>
            <w:tcW w:w="9198" w:type="dxa"/>
          </w:tcPr>
          <w:p>
            <w:pPr>
              <w:spacing w:line="300" w:lineRule="exact"/>
              <w:rPr>
                <w:rFonts w:ascii="宋体" w:hAnsi="宋体"/>
                <w:b/>
                <w:color w:val="000000" w:themeColor="text1"/>
                <w:sz w:val="20"/>
                <w:szCs w:val="20"/>
                <w:highlight w:val="none"/>
              </w:rPr>
            </w:pPr>
            <w:r>
              <w:rPr>
                <w:rFonts w:hint="eastAsia"/>
                <w:b/>
                <w:color w:val="000000" w:themeColor="text1"/>
                <w:sz w:val="20"/>
                <w:szCs w:val="20"/>
                <w:highlight w:val="none"/>
              </w:rPr>
              <w:t>5.</w:t>
            </w:r>
            <w:r>
              <w:rPr>
                <w:b/>
                <w:color w:val="000000" w:themeColor="text1"/>
                <w:sz w:val="20"/>
                <w:szCs w:val="20"/>
                <w:highlight w:val="none"/>
              </w:rPr>
              <w:t>QMS</w:t>
            </w:r>
            <w:r>
              <w:rPr>
                <w:rFonts w:hint="eastAsia" w:ascii="宋体" w:hAnsi="宋体"/>
                <w:b/>
                <w:color w:val="000000" w:themeColor="text1"/>
                <w:sz w:val="20"/>
                <w:szCs w:val="20"/>
                <w:highlight w:val="none"/>
              </w:rPr>
              <w:t>过程</w:t>
            </w:r>
          </w:p>
          <w:p>
            <w:pPr>
              <w:tabs>
                <w:tab w:val="left" w:pos="540"/>
              </w:tabs>
              <w:spacing w:line="300" w:lineRule="exact"/>
              <w:ind w:left="201" w:hanging="201" w:hangingChars="100"/>
              <w:rPr>
                <w:rFonts w:ascii="宋体" w:hAnsi="宋体"/>
                <w:b/>
                <w:color w:val="000000" w:themeColor="text1"/>
                <w:sz w:val="20"/>
                <w:szCs w:val="20"/>
                <w:highlight w:val="none"/>
                <w:u w:val="single"/>
              </w:rPr>
            </w:pPr>
            <w:r>
              <w:rPr>
                <w:rFonts w:hint="eastAsia" w:ascii="宋体" w:hAnsi="宋体"/>
                <w:b/>
                <w:color w:val="000000" w:themeColor="text1"/>
                <w:sz w:val="20"/>
                <w:szCs w:val="20"/>
                <w:highlight w:val="none"/>
              </w:rPr>
              <w:t>质量管理体系过程有：</w:t>
            </w:r>
            <w:r>
              <w:rPr>
                <w:rFonts w:hint="eastAsia" w:ascii="宋体" w:hAnsi="宋体"/>
                <w:szCs w:val="21"/>
              </w:rPr>
              <w:t>粉针剂、片剂（含中药提取）、硬胶囊剂、颗粒剂（含中药提取）、原料药的生产（资质范围内）</w:t>
            </w:r>
          </w:p>
          <w:p>
            <w:pPr>
              <w:tabs>
                <w:tab w:val="left" w:pos="540"/>
              </w:tabs>
              <w:spacing w:line="300" w:lineRule="exact"/>
              <w:ind w:left="201" w:hanging="201" w:hangingChars="100"/>
              <w:rPr>
                <w:rFonts w:hint="default" w:ascii="宋体" w:hAnsi="宋体" w:eastAsia="宋体"/>
                <w:b/>
                <w:color w:val="000000" w:themeColor="text1"/>
                <w:sz w:val="20"/>
                <w:szCs w:val="20"/>
                <w:highlight w:val="none"/>
                <w:u w:val="single"/>
                <w:lang w:val="en-US" w:eastAsia="zh-CN"/>
              </w:rPr>
            </w:pPr>
            <w:r>
              <w:rPr>
                <w:rFonts w:hint="eastAsia" w:ascii="宋体" w:hAnsi="宋体"/>
                <w:b/>
                <w:color w:val="000000" w:themeColor="text1"/>
                <w:sz w:val="20"/>
                <w:szCs w:val="20"/>
                <w:highlight w:val="none"/>
              </w:rPr>
              <w:t>其中关键过程有：</w:t>
            </w:r>
            <w:r>
              <w:rPr>
                <w:rFonts w:hint="eastAsia" w:ascii="Times New Roman" w:hAnsi="Times New Roman" w:cs="Times New Roman"/>
                <w:sz w:val="20"/>
                <w:highlight w:val="none"/>
              </w:rPr>
              <w:t>制粒干燥处理过程、冻干过程、过滤脱色</w:t>
            </w:r>
            <w:r>
              <w:rPr>
                <w:rFonts w:hint="eastAsia" w:cs="Times New Roman"/>
                <w:sz w:val="20"/>
                <w:highlight w:val="none"/>
                <w:lang w:val="en-US" w:eastAsia="zh-CN"/>
              </w:rPr>
              <w:t>过程</w:t>
            </w:r>
          </w:p>
          <w:p>
            <w:pPr>
              <w:tabs>
                <w:tab w:val="left" w:pos="540"/>
              </w:tabs>
              <w:spacing w:line="300" w:lineRule="exact"/>
              <w:ind w:left="201" w:hanging="201" w:hangingChars="100"/>
              <w:rPr>
                <w:rFonts w:hint="default" w:ascii="宋体" w:hAnsi="宋体"/>
                <w:b/>
                <w:color w:val="000000" w:themeColor="text1"/>
                <w:sz w:val="20"/>
                <w:szCs w:val="20"/>
                <w:highlight w:val="none"/>
                <w:u w:val="single"/>
                <w:lang w:val="en-US"/>
              </w:rPr>
            </w:pPr>
            <w:r>
              <w:rPr>
                <w:rFonts w:hint="eastAsia" w:ascii="宋体" w:hAnsi="宋体"/>
                <w:b/>
                <w:color w:val="000000" w:themeColor="text1"/>
                <w:sz w:val="20"/>
                <w:szCs w:val="20"/>
                <w:highlight w:val="none"/>
              </w:rPr>
              <w:t xml:space="preserve">需要确认过程： </w:t>
            </w:r>
            <w:r>
              <w:rPr>
                <w:rFonts w:hint="eastAsia" w:ascii="Times New Roman" w:hAnsi="Times New Roman" w:cs="Times New Roman"/>
                <w:sz w:val="20"/>
                <w:highlight w:val="none"/>
              </w:rPr>
              <w:t>制粒干燥处理过程、冻干过程、过滤脱色</w:t>
            </w:r>
            <w:r>
              <w:rPr>
                <w:rFonts w:hint="eastAsia" w:cs="Times New Roman"/>
                <w:sz w:val="20"/>
                <w:highlight w:val="none"/>
                <w:lang w:val="en-US" w:eastAsia="zh-CN"/>
              </w:rPr>
              <w:t>过程</w:t>
            </w:r>
          </w:p>
          <w:p>
            <w:pPr>
              <w:spacing w:line="420" w:lineRule="exact"/>
              <w:rPr>
                <w:rFonts w:ascii="宋体" w:hAnsi="宋体"/>
                <w:b/>
                <w:color w:val="000000" w:themeColor="text1"/>
                <w:szCs w:val="21"/>
                <w:highlight w:val="none"/>
              </w:rPr>
            </w:pPr>
            <w:r>
              <w:rPr>
                <w:rFonts w:hint="eastAsia" w:ascii="宋体" w:hAnsi="宋体"/>
                <w:b/>
                <w:color w:val="000000" w:themeColor="text1"/>
                <w:sz w:val="20"/>
                <w:szCs w:val="20"/>
                <w:highlight w:val="none"/>
              </w:rPr>
              <w:t xml:space="preserve">不适用条款是   </w:t>
            </w:r>
            <w:r>
              <w:rPr>
                <w:rFonts w:hint="eastAsia" w:ascii="宋体" w:hAnsi="宋体"/>
                <w:b/>
                <w:color w:val="000000" w:themeColor="text1"/>
                <w:sz w:val="20"/>
                <w:szCs w:val="20"/>
                <w:highlight w:val="none"/>
                <w:lang w:val="en-US" w:eastAsia="zh-CN"/>
              </w:rPr>
              <w:t>8.3条款</w:t>
            </w:r>
            <w:r>
              <w:rPr>
                <w:rFonts w:hint="eastAsia" w:ascii="宋体" w:hAnsi="宋体"/>
                <w:b/>
                <w:color w:val="000000" w:themeColor="text1"/>
                <w:sz w:val="20"/>
                <w:szCs w:val="20"/>
                <w:highlight w:val="none"/>
              </w:rPr>
              <w:t xml:space="preserve">     ，不适用理由：</w:t>
            </w:r>
            <w:r>
              <w:rPr>
                <w:rFonts w:hint="eastAsia" w:ascii="宋体" w:hAnsi="宋体"/>
                <w:spacing w:val="-8"/>
                <w:szCs w:val="21"/>
                <w:lang w:eastAsia="zh-CN"/>
              </w:rPr>
              <w:t>公司按相关国家和行业标准执行，公司生产的产品不承担设计开发责任，GB/T 19001-2016/ISO 9001:2015标准8.3条款不适用。对标准8.3条款的不适用，不影响公司提供满足顾客和适用法律法规要求的能力和责任。</w:t>
            </w:r>
            <w:r>
              <w:rPr>
                <w:rFonts w:hint="eastAsia" w:ascii="宋体" w:hAnsi="宋体"/>
                <w:b/>
                <w:color w:val="000000" w:themeColor="text1"/>
                <w:sz w:val="20"/>
                <w:szCs w:val="20"/>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84" w:hRule="atLeast"/>
          <w:jc w:val="center"/>
        </w:trPr>
        <w:tc>
          <w:tcPr>
            <w:tcW w:w="720" w:type="dxa"/>
            <w:vMerge w:val="continue"/>
            <w:vAlign w:val="center"/>
          </w:tcPr>
          <w:p>
            <w:pPr>
              <w:spacing w:line="240" w:lineRule="exact"/>
              <w:jc w:val="center"/>
              <w:rPr>
                <w:b/>
                <w:color w:val="000000" w:themeColor="text1"/>
                <w:sz w:val="20"/>
                <w:highlight w:val="none"/>
              </w:rPr>
            </w:pPr>
          </w:p>
        </w:tc>
        <w:tc>
          <w:tcPr>
            <w:tcW w:w="9198" w:type="dxa"/>
          </w:tcPr>
          <w:p>
            <w:pPr>
              <w:spacing w:line="300" w:lineRule="exact"/>
              <w:rPr>
                <w:rFonts w:ascii="宋体" w:hAnsi="宋体"/>
                <w:b/>
                <w:color w:val="000000" w:themeColor="text1"/>
                <w:spacing w:val="-12"/>
                <w:sz w:val="20"/>
                <w:szCs w:val="20"/>
                <w:highlight w:val="none"/>
              </w:rPr>
            </w:pPr>
            <w:r>
              <w:rPr>
                <w:rFonts w:hint="eastAsia"/>
                <w:b/>
                <w:color w:val="000000" w:themeColor="text1"/>
                <w:sz w:val="20"/>
                <w:szCs w:val="20"/>
                <w:highlight w:val="none"/>
              </w:rPr>
              <w:t xml:space="preserve">6. </w:t>
            </w:r>
            <w:r>
              <w:rPr>
                <w:b/>
                <w:color w:val="000000" w:themeColor="text1"/>
                <w:spacing w:val="-12"/>
                <w:sz w:val="20"/>
                <w:szCs w:val="20"/>
                <w:highlight w:val="none"/>
              </w:rPr>
              <w:t>EMS</w:t>
            </w:r>
            <w:r>
              <w:rPr>
                <w:rFonts w:hint="eastAsia" w:ascii="宋体" w:hAnsi="宋体"/>
                <w:b/>
                <w:color w:val="000000" w:themeColor="text1"/>
                <w:spacing w:val="-12"/>
                <w:sz w:val="20"/>
                <w:szCs w:val="20"/>
                <w:highlight w:val="none"/>
              </w:rPr>
              <w:t>环境因素/</w:t>
            </w:r>
          </w:p>
          <w:p>
            <w:pPr>
              <w:spacing w:line="300" w:lineRule="exact"/>
              <w:rPr>
                <w:rFonts w:ascii="宋体" w:hAnsi="宋体"/>
                <w:b/>
                <w:color w:val="000000" w:themeColor="text1"/>
                <w:spacing w:val="-8"/>
                <w:sz w:val="20"/>
                <w:szCs w:val="20"/>
                <w:highlight w:val="none"/>
              </w:rPr>
            </w:pPr>
            <w:r>
              <w:rPr>
                <w:rFonts w:hint="eastAsia" w:ascii="宋体" w:hAnsi="宋体"/>
                <w:b/>
                <w:color w:val="000000" w:themeColor="text1"/>
                <w:sz w:val="20"/>
                <w:szCs w:val="20"/>
                <w:highlight w:val="none"/>
              </w:rPr>
              <w:t>（</w:t>
            </w:r>
            <w:r>
              <w:rPr>
                <w:rFonts w:hint="eastAsia" w:ascii="宋体" w:hAnsi="宋体"/>
                <w:b/>
                <w:color w:val="000000" w:themeColor="text1"/>
                <w:spacing w:val="-8"/>
                <w:sz w:val="20"/>
                <w:szCs w:val="20"/>
                <w:highlight w:val="none"/>
              </w:rPr>
              <w:t>环境因素</w:t>
            </w:r>
            <w:r>
              <w:rPr>
                <w:rFonts w:hint="eastAsia" w:ascii="宋体" w:hAnsi="宋体"/>
                <w:b/>
                <w:color w:val="000000" w:themeColor="text1"/>
                <w:sz w:val="20"/>
                <w:szCs w:val="20"/>
                <w:highlight w:val="none"/>
              </w:rPr>
              <w:t>辨识是否充分、重要环境因素评价合理性，</w:t>
            </w:r>
            <w:r>
              <w:rPr>
                <w:rFonts w:hint="eastAsia" w:ascii="宋体" w:hAnsi="宋体"/>
                <w:b/>
                <w:color w:val="000000" w:themeColor="text1"/>
                <w:spacing w:val="-8"/>
                <w:sz w:val="20"/>
                <w:szCs w:val="20"/>
                <w:highlight w:val="none"/>
              </w:rPr>
              <w:t>以及环境因素动态变更的及时性等）</w:t>
            </w:r>
          </w:p>
          <w:p>
            <w:pPr>
              <w:spacing w:line="300" w:lineRule="exact"/>
              <w:ind w:firstLine="315" w:firstLineChars="150"/>
              <w:rPr>
                <w:rFonts w:asciiTheme="minorEastAsia" w:hAnsiTheme="minorEastAsia" w:eastAsiaTheme="minorEastAsia"/>
                <w:b/>
                <w:color w:val="000000" w:themeColor="text1"/>
                <w:sz w:val="20"/>
                <w:szCs w:val="20"/>
                <w:highlight w:val="none"/>
              </w:rPr>
            </w:pPr>
            <w:r>
              <w:rPr>
                <w:rFonts w:hint="eastAsia" w:asciiTheme="minorEastAsia" w:hAnsiTheme="minorEastAsia" w:eastAsiaTheme="minorEastAsia"/>
                <w:bCs/>
                <w:iCs/>
                <w:highlight w:val="none"/>
              </w:rPr>
              <w:t>组织建立了环境因素识别、评价控制程序，识别评价了环境因素、风险相关的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应急预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7" w:hRule="atLeast"/>
          <w:jc w:val="center"/>
        </w:trPr>
        <w:tc>
          <w:tcPr>
            <w:tcW w:w="720" w:type="dxa"/>
            <w:vMerge w:val="continue"/>
            <w:vAlign w:val="center"/>
          </w:tcPr>
          <w:p>
            <w:pPr>
              <w:spacing w:line="240" w:lineRule="exact"/>
              <w:jc w:val="center"/>
              <w:rPr>
                <w:b/>
                <w:color w:val="000000" w:themeColor="text1"/>
                <w:sz w:val="20"/>
                <w:highlight w:val="none"/>
              </w:rPr>
            </w:pPr>
          </w:p>
        </w:tc>
        <w:tc>
          <w:tcPr>
            <w:tcW w:w="9198" w:type="dxa"/>
          </w:tcPr>
          <w:p>
            <w:pPr>
              <w:spacing w:line="240" w:lineRule="exact"/>
              <w:rPr>
                <w:rFonts w:ascii="宋体" w:hAnsi="宋体"/>
                <w:b/>
                <w:sz w:val="21"/>
                <w:szCs w:val="21"/>
                <w:highlight w:val="none"/>
              </w:rPr>
            </w:pPr>
            <w:r>
              <w:rPr>
                <w:rFonts w:hint="eastAsia"/>
                <w:highlight w:val="none"/>
                <w:lang w:val="en-US" w:eastAsia="zh-CN"/>
              </w:rPr>
              <w:t>7</w:t>
            </w:r>
            <w:r>
              <w:rPr>
                <w:rFonts w:ascii="宋体" w:hAnsi="宋体"/>
                <w:b/>
                <w:sz w:val="21"/>
                <w:szCs w:val="21"/>
                <w:highlight w:val="none"/>
              </w:rPr>
              <w:t xml:space="preserve">. </w:t>
            </w:r>
            <w:r>
              <w:rPr>
                <w:rFonts w:hint="eastAsia" w:ascii="宋体" w:hAnsi="宋体"/>
                <w:b/>
                <w:sz w:val="21"/>
                <w:szCs w:val="21"/>
                <w:highlight w:val="none"/>
              </w:rPr>
              <w:t>□</w:t>
            </w:r>
            <w:r>
              <w:rPr>
                <w:rFonts w:ascii="宋体" w:hAnsi="宋体"/>
                <w:b/>
                <w:sz w:val="21"/>
                <w:szCs w:val="21"/>
                <w:highlight w:val="none"/>
              </w:rPr>
              <w:t>OHSMS</w:t>
            </w:r>
            <w:r>
              <w:rPr>
                <w:rFonts w:hint="eastAsia" w:ascii="宋体" w:hAnsi="宋体"/>
                <w:b/>
                <w:sz w:val="21"/>
                <w:szCs w:val="21"/>
                <w:highlight w:val="none"/>
              </w:rPr>
              <w:t>职业健康安全危险源</w:t>
            </w:r>
          </w:p>
          <w:p>
            <w:pPr>
              <w:tabs>
                <w:tab w:val="left" w:pos="1220"/>
              </w:tabs>
              <w:bidi w:val="0"/>
              <w:jc w:val="left"/>
              <w:rPr>
                <w:rFonts w:hint="eastAsia"/>
                <w:highlight w:val="none"/>
                <w:lang w:val="en-US" w:eastAsia="zh-CN"/>
              </w:rPr>
            </w:pPr>
            <w:r>
              <w:rPr>
                <w:rFonts w:hint="eastAsia" w:ascii="宋体" w:hAnsi="宋体"/>
                <w:b/>
                <w:sz w:val="21"/>
                <w:szCs w:val="21"/>
                <w:highlight w:val="none"/>
              </w:rPr>
              <w:t>（职业健康安全危险源辨识是否充分、风险评价合理性，以及风险评价动态变更的及时性等）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highlight w:val="none"/>
              </w:rPr>
            </w:pPr>
          </w:p>
        </w:tc>
        <w:tc>
          <w:tcPr>
            <w:tcW w:w="9198" w:type="dxa"/>
          </w:tcPr>
          <w:p>
            <w:pPr>
              <w:spacing w:line="300" w:lineRule="exact"/>
              <w:rPr>
                <w:b/>
                <w:color w:val="000000" w:themeColor="text1"/>
                <w:spacing w:val="-4"/>
                <w:szCs w:val="21"/>
                <w:highlight w:val="none"/>
              </w:rPr>
            </w:pPr>
            <w:r>
              <w:rPr>
                <w:rFonts w:hint="eastAsia"/>
                <w:b/>
                <w:color w:val="000000" w:themeColor="text1"/>
                <w:szCs w:val="21"/>
                <w:highlight w:val="none"/>
                <w:lang w:val="en-US" w:eastAsia="zh-CN"/>
              </w:rPr>
              <w:t>8</w:t>
            </w:r>
            <w:r>
              <w:rPr>
                <w:rFonts w:hint="eastAsia"/>
                <w:b/>
                <w:color w:val="000000" w:themeColor="text1"/>
                <w:szCs w:val="21"/>
                <w:highlight w:val="none"/>
              </w:rPr>
              <w:t xml:space="preserve">. </w:t>
            </w:r>
            <w:r>
              <w:rPr>
                <w:rFonts w:hint="eastAsia" w:ascii="宋体" w:hAnsi="宋体"/>
                <w:b/>
                <w:color w:val="000000" w:themeColor="text1"/>
                <w:spacing w:val="-4"/>
                <w:szCs w:val="21"/>
                <w:highlight w:val="none"/>
              </w:rPr>
              <w:t>法律法规及其他要求</w:t>
            </w:r>
          </w:p>
          <w:p>
            <w:pPr>
              <w:tabs>
                <w:tab w:val="left" w:pos="540"/>
              </w:tabs>
              <w:spacing w:line="300" w:lineRule="exact"/>
              <w:rPr>
                <w:rFonts w:ascii="宋体" w:hAnsi="宋体"/>
                <w:b/>
                <w:color w:val="000000" w:themeColor="text1"/>
                <w:szCs w:val="21"/>
                <w:highlight w:val="none"/>
              </w:rPr>
            </w:pPr>
          </w:p>
          <w:p>
            <w:pPr>
              <w:pStyle w:val="13"/>
              <w:numPr>
                <w:ilvl w:val="0"/>
                <w:numId w:val="2"/>
              </w:numPr>
              <w:tabs>
                <w:tab w:val="left" w:pos="540"/>
              </w:tabs>
              <w:spacing w:line="300" w:lineRule="exact"/>
              <w:ind w:firstLineChars="0"/>
              <w:rPr>
                <w:rFonts w:hint="eastAsia" w:ascii="宋体" w:hAnsi="宋体" w:cs="Times New Roman"/>
                <w:b/>
                <w:color w:val="000000" w:themeColor="text1"/>
                <w:szCs w:val="21"/>
                <w:highlight w:val="none"/>
              </w:rPr>
            </w:pPr>
            <w:r>
              <w:rPr>
                <w:rFonts w:hint="eastAsia" w:ascii="宋体" w:hAnsi="宋体" w:cs="Times New Roman"/>
                <w:b/>
                <w:color w:val="000000" w:themeColor="text1"/>
                <w:szCs w:val="21"/>
                <w:highlight w:val="none"/>
              </w:rPr>
              <w:t>获取法律法规项，■法律法规获取充分，□法律法规获取有遗漏，缺少</w:t>
            </w:r>
          </w:p>
          <w:p>
            <w:pPr>
              <w:pStyle w:val="13"/>
              <w:numPr>
                <w:ilvl w:val="0"/>
                <w:numId w:val="2"/>
              </w:numPr>
              <w:tabs>
                <w:tab w:val="left" w:pos="540"/>
              </w:tabs>
              <w:spacing w:line="300" w:lineRule="exact"/>
              <w:ind w:firstLineChars="0"/>
              <w:rPr>
                <w:rFonts w:hint="eastAsia" w:ascii="宋体" w:hAnsi="宋体" w:cs="Times New Roman"/>
                <w:b/>
                <w:color w:val="000000" w:themeColor="text1"/>
                <w:szCs w:val="21"/>
                <w:highlight w:val="none"/>
              </w:rPr>
            </w:pPr>
            <w:r>
              <w:rPr>
                <w:rFonts w:hint="eastAsia" w:ascii="宋体" w:hAnsi="宋体" w:cs="Times New Roman"/>
                <w:b/>
                <w:color w:val="000000" w:themeColor="text1"/>
                <w:szCs w:val="21"/>
                <w:highlight w:val="none"/>
              </w:rPr>
              <w:t>结合公司的■产品/服务■环境因素，■确定 □未确定法律法规要求的具体条款，</w:t>
            </w:r>
          </w:p>
          <w:p>
            <w:pPr>
              <w:pStyle w:val="13"/>
              <w:numPr>
                <w:ilvl w:val="0"/>
                <w:numId w:val="2"/>
              </w:numPr>
              <w:tabs>
                <w:tab w:val="left" w:pos="540"/>
              </w:tabs>
              <w:spacing w:line="300" w:lineRule="exact"/>
              <w:ind w:firstLineChars="0"/>
              <w:rPr>
                <w:rFonts w:hint="eastAsia" w:ascii="宋体" w:hAnsi="宋体" w:cs="Times New Roman"/>
                <w:b/>
                <w:color w:val="000000" w:themeColor="text1"/>
                <w:szCs w:val="21"/>
                <w:highlight w:val="none"/>
              </w:rPr>
            </w:pPr>
            <w:r>
              <w:rPr>
                <w:rFonts w:hint="eastAsia" w:ascii="宋体" w:hAnsi="宋体" w:cs="Times New Roman"/>
                <w:b/>
                <w:color w:val="000000" w:themeColor="text1"/>
                <w:szCs w:val="21"/>
                <w:highlight w:val="none"/>
              </w:rPr>
              <w:t>法律法规的宣传方式：培训、会议、张贴。</w:t>
            </w:r>
          </w:p>
          <w:p>
            <w:pPr>
              <w:pStyle w:val="13"/>
              <w:numPr>
                <w:ilvl w:val="0"/>
                <w:numId w:val="2"/>
              </w:numPr>
              <w:tabs>
                <w:tab w:val="left" w:pos="540"/>
              </w:tabs>
              <w:spacing w:line="300" w:lineRule="exact"/>
              <w:ind w:firstLineChars="0"/>
              <w:rPr>
                <w:rFonts w:hint="eastAsia" w:ascii="宋体" w:hAnsi="宋体" w:cs="Times New Roman"/>
                <w:b/>
                <w:color w:val="000000" w:themeColor="text1"/>
                <w:szCs w:val="21"/>
                <w:highlight w:val="none"/>
              </w:rPr>
            </w:pPr>
            <w:r>
              <w:rPr>
                <w:rFonts w:hint="eastAsia" w:ascii="宋体" w:hAnsi="宋体" w:cs="Times New Roman"/>
                <w:b/>
                <w:color w:val="000000" w:themeColor="text1"/>
                <w:szCs w:val="21"/>
                <w:highlight w:val="none"/>
              </w:rPr>
              <w:t>法律法规要求及时更新了</w:t>
            </w:r>
          </w:p>
          <w:p>
            <w:pPr>
              <w:tabs>
                <w:tab w:val="left" w:pos="0"/>
              </w:tabs>
              <w:spacing w:line="240" w:lineRule="exact"/>
              <w:rPr>
                <w:b/>
                <w:color w:val="000000" w:themeColor="text1"/>
                <w:sz w:val="14"/>
                <w:szCs w:val="1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vAlign w:val="center"/>
          </w:tcPr>
          <w:p>
            <w:pPr>
              <w:spacing w:line="240" w:lineRule="exact"/>
              <w:jc w:val="center"/>
              <w:rPr>
                <w:b/>
                <w:color w:val="000000" w:themeColor="text1"/>
                <w:sz w:val="20"/>
                <w:highlight w:val="none"/>
              </w:rPr>
            </w:pPr>
          </w:p>
        </w:tc>
        <w:tc>
          <w:tcPr>
            <w:tcW w:w="9198" w:type="dxa"/>
          </w:tcPr>
          <w:p>
            <w:pPr>
              <w:spacing w:line="300" w:lineRule="exact"/>
              <w:rPr>
                <w:rFonts w:ascii="宋体" w:hAnsi="宋体"/>
                <w:b/>
                <w:color w:val="000000" w:themeColor="text1"/>
                <w:szCs w:val="21"/>
                <w:highlight w:val="none"/>
              </w:rPr>
            </w:pPr>
            <w:r>
              <w:rPr>
                <w:rFonts w:hint="eastAsia"/>
                <w:b/>
                <w:color w:val="000000" w:themeColor="text1"/>
                <w:szCs w:val="21"/>
                <w:highlight w:val="none"/>
              </w:rPr>
              <w:t xml:space="preserve">9. </w:t>
            </w:r>
            <w:r>
              <w:rPr>
                <w:rFonts w:hint="eastAsia" w:ascii="宋体" w:hAnsi="宋体"/>
                <w:b/>
                <w:color w:val="000000" w:themeColor="text1"/>
                <w:szCs w:val="21"/>
                <w:highlight w:val="none"/>
              </w:rPr>
              <w:t>目标、方案</w:t>
            </w:r>
          </w:p>
          <w:p>
            <w:pPr>
              <w:spacing w:line="300" w:lineRule="exact"/>
              <w:rPr>
                <w:rFonts w:ascii="宋体" w:hAnsi="宋体"/>
                <w:b/>
                <w:color w:val="000000" w:themeColor="text1"/>
                <w:sz w:val="20"/>
                <w:szCs w:val="20"/>
                <w:highlight w:val="none"/>
              </w:rPr>
            </w:pPr>
            <w:r>
              <w:rPr>
                <w:rFonts w:hint="eastAsia"/>
                <w:b/>
                <w:color w:val="000000" w:themeColor="text1"/>
                <w:sz w:val="20"/>
                <w:szCs w:val="20"/>
                <w:highlight w:val="none"/>
              </w:rPr>
              <w:t>（</w:t>
            </w:r>
            <w:r>
              <w:rPr>
                <w:rFonts w:hint="eastAsia" w:ascii="宋体" w:hAnsi="宋体"/>
                <w:b/>
                <w:color w:val="000000" w:themeColor="text1"/>
                <w:spacing w:val="-4"/>
                <w:sz w:val="20"/>
                <w:szCs w:val="20"/>
                <w:highlight w:val="none"/>
              </w:rPr>
              <w:t>在相关层次上建立</w:t>
            </w:r>
            <w:r>
              <w:rPr>
                <w:rFonts w:hint="eastAsia" w:ascii="宋体" w:hAnsi="宋体"/>
                <w:b/>
                <w:color w:val="000000" w:themeColor="text1"/>
                <w:sz w:val="20"/>
                <w:szCs w:val="20"/>
                <w:highlight w:val="none"/>
              </w:rPr>
              <w:t>可测量的目标，目标、方案的有效性，对质量目标的实现情况进行评价并叙述测量方法）</w:t>
            </w:r>
          </w:p>
          <w:p>
            <w:pPr>
              <w:spacing w:line="300" w:lineRule="exact"/>
              <w:ind w:firstLine="420" w:firstLineChars="200"/>
              <w:rPr>
                <w:rFonts w:hint="eastAsia" w:ascii="宋体" w:hAnsi="宋体" w:cs="宋体"/>
                <w:color w:val="000000"/>
                <w:kern w:val="0"/>
                <w:szCs w:val="21"/>
                <w:highlight w:val="none"/>
              </w:rPr>
            </w:pPr>
            <w:r>
              <w:rPr>
                <w:rFonts w:hint="eastAsia" w:ascii="宋体" w:hAnsi="宋体" w:cs="宋体"/>
                <w:color w:val="000000"/>
                <w:kern w:val="0"/>
                <w:szCs w:val="21"/>
                <w:highlight w:val="none"/>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p>
            <w:pPr>
              <w:spacing w:line="300" w:lineRule="exact"/>
              <w:ind w:firstLine="420" w:firstLineChars="200"/>
              <w:rPr>
                <w:rFonts w:hint="eastAsia" w:ascii="宋体" w:hAnsi="宋体" w:cs="宋体"/>
                <w:color w:val="000000"/>
                <w:kern w:val="0"/>
                <w:szCs w:val="21"/>
                <w:highlight w:val="none"/>
              </w:rPr>
            </w:pPr>
            <w:r>
              <w:rPr>
                <w:rFonts w:hint="eastAsia" w:ascii="宋体" w:hAnsi="宋体" w:cs="宋体"/>
                <w:color w:val="000000"/>
                <w:kern w:val="0"/>
                <w:szCs w:val="21"/>
                <w:highlight w:val="none"/>
              </w:rPr>
              <w:t>公司质量环境目标为：</w:t>
            </w:r>
          </w:p>
          <w:p>
            <w:pPr>
              <w:rPr>
                <w:rFonts w:hint="default" w:ascii="宋体" w:hAnsi="宋体" w:cs="Times New Roman"/>
                <w:lang w:val="en-US" w:eastAsia="zh-CN"/>
              </w:rPr>
            </w:pPr>
            <w:r>
              <w:rPr>
                <w:rFonts w:hint="eastAsia" w:ascii="宋体" w:hAnsi="宋体"/>
                <w:szCs w:val="21"/>
              </w:rPr>
              <w:t>1、</w:t>
            </w:r>
            <w:r>
              <w:rPr>
                <w:rFonts w:hint="eastAsia"/>
              </w:rPr>
              <w:t>顾客满意</w:t>
            </w:r>
            <w:r>
              <w:rPr>
                <w:rFonts w:hint="eastAsia" w:ascii="宋体" w:hAnsi="宋体" w:cs="Times New Roman"/>
              </w:rPr>
              <w:t>度90分以上；</w:t>
            </w:r>
            <w:r>
              <w:rPr>
                <w:rFonts w:hint="eastAsia" w:ascii="宋体" w:hAnsi="宋体" w:cs="Times New Roman"/>
                <w:lang w:val="en-US" w:eastAsia="zh-CN"/>
              </w:rPr>
              <w:t xml:space="preserve">                满意度95.7</w:t>
            </w:r>
          </w:p>
          <w:p>
            <w:pPr>
              <w:rPr>
                <w:rFonts w:hint="eastAsia" w:ascii="宋体" w:hAnsi="宋体" w:cs="Times New Roman"/>
                <w:lang w:val="en-US" w:eastAsia="zh-CN"/>
              </w:rPr>
            </w:pPr>
            <w:r>
              <w:rPr>
                <w:rFonts w:hint="eastAsia" w:ascii="宋体" w:hAnsi="宋体" w:cs="Times New Roman"/>
              </w:rPr>
              <w:t>2</w:t>
            </w:r>
            <w:r>
              <w:rPr>
                <w:rFonts w:hint="eastAsia" w:ascii="宋体" w:hAnsi="宋体" w:cs="Times New Roman"/>
                <w:lang w:eastAsia="zh-CN"/>
              </w:rPr>
              <w:t>、</w:t>
            </w:r>
            <w:r>
              <w:rPr>
                <w:rFonts w:hint="eastAsia" w:ascii="宋体" w:hAnsi="宋体" w:cs="Times New Roman"/>
              </w:rPr>
              <w:t>环境污染事故率</w:t>
            </w:r>
            <w:r>
              <w:rPr>
                <w:rFonts w:hint="eastAsia" w:ascii="宋体" w:hAnsi="宋体" w:cs="Times New Roman"/>
                <w:lang w:val="en-US" w:eastAsia="zh-CN"/>
              </w:rPr>
              <w:t>为0；                     0</w:t>
            </w:r>
          </w:p>
          <w:p>
            <w:pPr>
              <w:rPr>
                <w:rFonts w:hint="default" w:ascii="宋体" w:hAnsi="宋体" w:cs="Times New Roman"/>
                <w:b w:val="0"/>
                <w:bCs w:val="0"/>
                <w:lang w:val="en-US" w:eastAsia="zh-CN"/>
              </w:rPr>
            </w:pPr>
            <w:r>
              <w:rPr>
                <w:rFonts w:hint="eastAsia" w:ascii="宋体" w:hAnsi="宋体" w:cs="Times New Roman"/>
                <w:lang w:val="en-US" w:eastAsia="zh-CN"/>
              </w:rPr>
              <w:t>3、</w:t>
            </w:r>
            <w:r>
              <w:rPr>
                <w:rFonts w:hint="eastAsia" w:ascii="宋体" w:hAnsi="宋体" w:cs="Times New Roman"/>
                <w:lang w:val="zh-CN" w:eastAsia="zh-CN"/>
              </w:rPr>
              <w:t>废水、废气、噪声排放</w:t>
            </w:r>
            <w:r>
              <w:rPr>
                <w:rFonts w:hint="eastAsia" w:ascii="宋体" w:hAnsi="宋体" w:cs="Times New Roman"/>
                <w:lang w:val="en-US" w:eastAsia="zh-CN"/>
              </w:rPr>
              <w:t xml:space="preserve">达标率100%        100%  </w:t>
            </w:r>
          </w:p>
          <w:p>
            <w:pPr>
              <w:rPr>
                <w:rFonts w:ascii="宋体" w:hAnsi="宋体"/>
                <w:b/>
                <w:color w:val="000000" w:themeColor="text1"/>
                <w:highlight w:val="none"/>
              </w:rPr>
            </w:pPr>
            <w:r>
              <w:rPr>
                <w:rFonts w:hint="eastAsia" w:ascii="宋体" w:hAnsi="宋体" w:cs="Times New Roman"/>
              </w:rPr>
              <w:t>4、火灾事故</w:t>
            </w:r>
            <w:r>
              <w:rPr>
                <w:rFonts w:hint="eastAsia" w:ascii="宋体" w:hAnsi="宋体" w:cs="Times New Roman"/>
                <w:lang w:val="en-US" w:eastAsia="zh-CN"/>
              </w:rPr>
              <w:t>为0</w:t>
            </w:r>
            <w:r>
              <w:rPr>
                <w:rFonts w:hint="eastAsia" w:ascii="宋体" w:hAnsi="宋体" w:cs="Times New Roman"/>
              </w:rPr>
              <w:t>；</w:t>
            </w:r>
            <w:r>
              <w:rPr>
                <w:rFonts w:hint="eastAsia" w:ascii="宋体" w:hAnsi="宋体" w:cs="Times New Roman"/>
                <w:lang w:val="en-US" w:eastAsia="zh-CN"/>
              </w:rPr>
              <w:t xml:space="preserve">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highlight w:val="none"/>
              </w:rPr>
            </w:pPr>
          </w:p>
        </w:tc>
        <w:tc>
          <w:tcPr>
            <w:tcW w:w="9198" w:type="dxa"/>
          </w:tcPr>
          <w:p>
            <w:pPr>
              <w:spacing w:line="240" w:lineRule="exact"/>
              <w:rPr>
                <w:rFonts w:ascii="宋体" w:hAnsi="宋体"/>
                <w:b/>
                <w:color w:val="000000" w:themeColor="text1"/>
                <w:sz w:val="20"/>
                <w:szCs w:val="20"/>
                <w:highlight w:val="none"/>
              </w:rPr>
            </w:pPr>
            <w:r>
              <w:rPr>
                <w:rFonts w:hint="eastAsia"/>
                <w:b/>
                <w:color w:val="000000" w:themeColor="text1"/>
                <w:sz w:val="20"/>
                <w:szCs w:val="20"/>
                <w:highlight w:val="none"/>
              </w:rPr>
              <w:t>10. 文件与记录控制 (</w:t>
            </w:r>
            <w:r>
              <w:rPr>
                <w:rFonts w:hint="eastAsia" w:ascii="宋体" w:hAnsi="宋体"/>
                <w:b/>
                <w:color w:val="000000" w:themeColor="text1"/>
                <w:sz w:val="20"/>
                <w:szCs w:val="20"/>
                <w:highlight w:val="none"/>
              </w:rPr>
              <w:t>文审修订后文件与标准的符合程度评价、</w:t>
            </w:r>
            <w:r>
              <w:rPr>
                <w:rFonts w:hint="eastAsia" w:ascii="宋体" w:hAnsi="宋体"/>
                <w:b/>
                <w:color w:val="000000" w:themeColor="text1"/>
                <w:spacing w:val="-4"/>
                <w:sz w:val="20"/>
                <w:szCs w:val="20"/>
                <w:highlight w:val="none"/>
              </w:rPr>
              <w:t>文件</w:t>
            </w:r>
            <w:r>
              <w:rPr>
                <w:rFonts w:hint="eastAsia" w:ascii="宋体" w:hAnsi="宋体"/>
                <w:b/>
                <w:color w:val="000000" w:themeColor="text1"/>
                <w:sz w:val="20"/>
                <w:szCs w:val="20"/>
                <w:highlight w:val="none"/>
              </w:rPr>
              <w:t>控制管理等)</w:t>
            </w:r>
          </w:p>
          <w:p>
            <w:pPr>
              <w:tabs>
                <w:tab w:val="left" w:pos="540"/>
              </w:tabs>
              <w:spacing w:line="240" w:lineRule="exact"/>
              <w:ind w:firstLine="420" w:firstLineChars="200"/>
              <w:rPr>
                <w:rFonts w:ascii="宋体" w:hAnsi="宋体"/>
                <w:b/>
                <w:color w:val="000000" w:themeColor="text1"/>
                <w:sz w:val="20"/>
                <w:szCs w:val="20"/>
                <w:highlight w:val="none"/>
              </w:rPr>
            </w:pPr>
            <w:r>
              <w:rPr>
                <w:rFonts w:hint="eastAsia" w:ascii="宋体" w:hAnsi="宋体" w:cs="宋体"/>
                <w:color w:val="000000" w:themeColor="text1"/>
                <w:highlight w:val="none"/>
              </w:rPr>
              <w:t>公司按照申请认证的标准要求，建立并形成了文件化的</w:t>
            </w:r>
            <w:r>
              <w:rPr>
                <w:rFonts w:hint="eastAsia" w:ascii="宋体" w:hAnsi="宋体" w:cs="宋体"/>
                <w:color w:val="000000" w:themeColor="text1"/>
                <w:highlight w:val="none"/>
                <w:lang w:val="en-US" w:eastAsia="zh-CN"/>
              </w:rPr>
              <w:t>质量、</w:t>
            </w:r>
            <w:r>
              <w:rPr>
                <w:rFonts w:hint="eastAsia" w:ascii="宋体" w:hAnsi="宋体"/>
                <w:color w:val="000000" w:themeColor="text1"/>
                <w:highlight w:val="none"/>
              </w:rPr>
              <w:t>环境</w:t>
            </w:r>
            <w:r>
              <w:rPr>
                <w:rFonts w:hint="eastAsia" w:ascii="宋体" w:hAnsi="宋体" w:cs="宋体"/>
                <w:color w:val="000000" w:themeColor="text1"/>
                <w:highlight w:val="none"/>
              </w:rPr>
              <w:t>管理体系，体系文件对管理体系各过程进行了识别确定、明确了各要素间的相互关系及其管控要求。公司体系文件于</w:t>
            </w:r>
            <w:r>
              <w:rPr>
                <w:rFonts w:hint="eastAsia" w:ascii="宋体" w:hAnsi="宋体" w:cs="Arial"/>
                <w:color w:val="000000" w:themeColor="text1"/>
                <w:highlight w:val="none"/>
              </w:rPr>
              <w:t>20</w:t>
            </w:r>
            <w:r>
              <w:rPr>
                <w:rFonts w:hint="eastAsia" w:ascii="宋体" w:hAnsi="宋体" w:cs="Arial"/>
                <w:color w:val="000000" w:themeColor="text1"/>
                <w:highlight w:val="none"/>
                <w:lang w:val="en-US" w:eastAsia="zh-CN"/>
              </w:rPr>
              <w:t>21</w:t>
            </w:r>
            <w:r>
              <w:rPr>
                <w:rFonts w:hint="eastAsia" w:ascii="宋体" w:hAnsi="宋体" w:cs="Arial"/>
                <w:color w:val="000000" w:themeColor="text1"/>
                <w:highlight w:val="none"/>
              </w:rPr>
              <w:t xml:space="preserve"> </w:t>
            </w:r>
            <w:r>
              <w:rPr>
                <w:rFonts w:hint="eastAsia" w:ascii="宋体" w:hAnsi="宋体" w:cs="宋体"/>
                <w:color w:val="000000" w:themeColor="text1"/>
                <w:highlight w:val="none"/>
              </w:rPr>
              <w:t>年</w:t>
            </w:r>
            <w:r>
              <w:rPr>
                <w:rFonts w:hint="eastAsia" w:ascii="宋体" w:hAnsi="宋体" w:cs="宋体"/>
                <w:color w:val="000000" w:themeColor="text1"/>
                <w:highlight w:val="none"/>
                <w:lang w:val="en-US" w:eastAsia="zh-CN"/>
              </w:rPr>
              <w:t>1</w:t>
            </w:r>
            <w:r>
              <w:rPr>
                <w:rFonts w:hint="eastAsia" w:ascii="宋体" w:hAnsi="宋体" w:cs="宋体"/>
                <w:color w:val="000000" w:themeColor="text1"/>
                <w:highlight w:val="none"/>
              </w:rPr>
              <w:t>月</w:t>
            </w:r>
            <w:r>
              <w:rPr>
                <w:rFonts w:hint="eastAsia" w:ascii="宋体" w:hAnsi="宋体" w:cs="宋体"/>
                <w:color w:val="000000" w:themeColor="text1"/>
                <w:highlight w:val="none"/>
                <w:lang w:val="en-US" w:eastAsia="zh-CN"/>
              </w:rPr>
              <w:t>10</w:t>
            </w:r>
            <w:r>
              <w:rPr>
                <w:rFonts w:hint="eastAsia" w:ascii="宋体" w:hAnsi="宋体" w:cs="宋体"/>
                <w:color w:val="000000" w:themeColor="text1"/>
                <w:highlight w:val="none"/>
              </w:rPr>
              <w:t>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highlight w:val="none"/>
              </w:rPr>
            </w:pPr>
            <w:r>
              <w:rPr>
                <w:b/>
                <w:color w:val="000000" w:themeColor="text1"/>
                <w:szCs w:val="21"/>
                <w:highlight w:val="none"/>
              </w:rPr>
              <w:br w:type="page"/>
            </w:r>
            <w:r>
              <w:rPr>
                <w:rFonts w:hint="eastAsia" w:ascii="宋体" w:hAnsi="宋体"/>
                <w:b/>
                <w:color w:val="000000" w:themeColor="text1"/>
                <w:szCs w:val="21"/>
                <w:highlight w:val="none"/>
              </w:rPr>
              <w:t>(二)资源评价</w:t>
            </w:r>
          </w:p>
        </w:tc>
        <w:tc>
          <w:tcPr>
            <w:tcW w:w="9198" w:type="dxa"/>
          </w:tcPr>
          <w:p>
            <w:pPr>
              <w:spacing w:line="300" w:lineRule="exact"/>
              <w:rPr>
                <w:b/>
                <w:color w:val="000000" w:themeColor="text1"/>
                <w:sz w:val="20"/>
                <w:szCs w:val="20"/>
                <w:highlight w:val="none"/>
              </w:rPr>
            </w:pPr>
            <w:r>
              <w:rPr>
                <w:rFonts w:hint="eastAsia" w:ascii="宋体" w:hAnsi="宋体"/>
                <w:b/>
                <w:color w:val="000000" w:themeColor="text1"/>
                <w:sz w:val="20"/>
                <w:szCs w:val="20"/>
                <w:highlight w:val="none"/>
              </w:rPr>
              <w:t>人力资源的简要说明</w:t>
            </w:r>
            <w:r>
              <w:rPr>
                <w:rFonts w:hint="eastAsia"/>
                <w:b/>
                <w:color w:val="000000" w:themeColor="text1"/>
                <w:sz w:val="20"/>
                <w:szCs w:val="20"/>
                <w:highlight w:val="none"/>
              </w:rPr>
              <w:t>.</w:t>
            </w:r>
            <w:r>
              <w:rPr>
                <w:rFonts w:hint="eastAsia" w:ascii="宋体" w:hAnsi="宋体"/>
                <w:b/>
                <w:color w:val="000000" w:themeColor="text1"/>
                <w:sz w:val="20"/>
                <w:szCs w:val="20"/>
                <w:highlight w:val="none"/>
              </w:rPr>
              <w:t>:</w:t>
            </w:r>
          </w:p>
          <w:p>
            <w:pPr>
              <w:tabs>
                <w:tab w:val="left" w:pos="2552"/>
              </w:tabs>
              <w:spacing w:line="0" w:lineRule="atLeast"/>
              <w:ind w:firstLine="420" w:firstLineChars="200"/>
              <w:rPr>
                <w:rFonts w:ascii="宋体" w:hAnsi="宋体"/>
                <w:bCs/>
                <w:iCs/>
                <w:szCs w:val="22"/>
                <w:highlight w:val="none"/>
              </w:rPr>
            </w:pPr>
            <w:r>
              <w:rPr>
                <w:rFonts w:hint="eastAsia" w:ascii="宋体" w:hAnsi="宋体"/>
                <w:bCs/>
                <w:iCs/>
                <w:highlight w:val="none"/>
              </w:rPr>
              <w:t>组</w:t>
            </w:r>
            <w:r>
              <w:rPr>
                <w:rFonts w:hint="eastAsia" w:ascii="宋体" w:hAnsi="宋体"/>
                <w:bCs/>
                <w:iCs/>
                <w:szCs w:val="22"/>
                <w:highlight w:val="none"/>
              </w:rPr>
              <w:t>织按管理体系需求配置了充足的人员、设施、监视和测量设备等资源，并建立</w:t>
            </w:r>
            <w:r>
              <w:rPr>
                <w:rFonts w:hint="eastAsia" w:ascii="宋体" w:hAnsi="宋体"/>
                <w:szCs w:val="21"/>
                <w:highlight w:val="none"/>
              </w:rPr>
              <w:t>微波消解仪、电热消解仪的研发及销售</w:t>
            </w:r>
            <w:r>
              <w:rPr>
                <w:rFonts w:hint="eastAsia" w:ascii="宋体" w:hAnsi="宋体"/>
                <w:bCs/>
                <w:iCs/>
                <w:szCs w:val="22"/>
                <w:highlight w:val="none"/>
              </w:rPr>
              <w:t>相关</w:t>
            </w:r>
            <w:r>
              <w:rPr>
                <w:rFonts w:hint="eastAsia" w:ascii="宋体" w:hAnsi="宋体"/>
                <w:bCs/>
                <w:iCs/>
                <w:szCs w:val="22"/>
                <w:highlight w:val="none"/>
                <w:lang w:val="en-US" w:eastAsia="zh-CN"/>
              </w:rPr>
              <w:t>的</w:t>
            </w:r>
            <w:r>
              <w:rPr>
                <w:rFonts w:hint="eastAsia" w:ascii="宋体" w:hAnsi="宋体"/>
                <w:bCs/>
                <w:iCs/>
                <w:szCs w:val="22"/>
                <w:highlight w:val="none"/>
              </w:rPr>
              <w:t>运行环境，可以维持管理体系的正常运行。</w:t>
            </w:r>
          </w:p>
          <w:p>
            <w:pPr>
              <w:spacing w:line="300" w:lineRule="exact"/>
              <w:rPr>
                <w:rFonts w:ascii="宋体" w:hAnsi="宋体"/>
                <w:b/>
                <w:color w:val="000000" w:themeColor="text1"/>
                <w:sz w:val="20"/>
                <w:szCs w:val="20"/>
                <w:highlight w:val="none"/>
              </w:rPr>
            </w:pPr>
            <w:r>
              <w:rPr>
                <w:rFonts w:hint="eastAsia" w:ascii="宋体" w:hAnsi="宋体"/>
                <w:bCs/>
                <w:iCs/>
                <w:highlight w:val="none"/>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highlight w:val="none"/>
              </w:rPr>
            </w:pPr>
          </w:p>
        </w:tc>
        <w:tc>
          <w:tcPr>
            <w:tcW w:w="9198" w:type="dxa"/>
          </w:tcPr>
          <w:p>
            <w:pPr>
              <w:spacing w:line="240" w:lineRule="exact"/>
              <w:rPr>
                <w:rFonts w:ascii="宋体" w:hAnsi="宋体"/>
                <w:b/>
                <w:color w:val="000000" w:themeColor="text1"/>
                <w:sz w:val="20"/>
                <w:szCs w:val="20"/>
                <w:highlight w:val="none"/>
              </w:rPr>
            </w:pPr>
            <w:r>
              <w:rPr>
                <w:rFonts w:hint="eastAsia" w:ascii="宋体" w:hAnsi="宋体"/>
                <w:b/>
                <w:color w:val="000000" w:themeColor="text1"/>
                <w:sz w:val="20"/>
                <w:szCs w:val="20"/>
                <w:highlight w:val="none"/>
              </w:rPr>
              <w:t>设备设施（包括信息系统）</w:t>
            </w:r>
          </w:p>
          <w:p>
            <w:pPr>
              <w:spacing w:line="400" w:lineRule="exact"/>
              <w:ind w:firstLine="420" w:firstLineChars="200"/>
              <w:rPr>
                <w:rFonts w:ascii="宋体" w:hAnsi="宋体"/>
                <w:b/>
                <w:color w:val="000000" w:themeColor="text1"/>
                <w:sz w:val="20"/>
                <w:szCs w:val="20"/>
                <w:highlight w:val="none"/>
              </w:rPr>
            </w:pPr>
            <w:bookmarkStart w:id="19" w:name="_GoBack"/>
            <w:r>
              <w:rPr>
                <w:rFonts w:hint="eastAsia" w:ascii="宋体" w:hAnsi="宋体" w:cs="宋体"/>
                <w:szCs w:val="21"/>
                <w:highlight w:val="none"/>
                <w:lang w:val="en-US" w:eastAsia="zh-CN"/>
              </w:rPr>
              <w:t>生产面积：8125㎡，办公面积：867㎡</w:t>
            </w:r>
            <w:r>
              <w:rPr>
                <w:rFonts w:hint="eastAsia" w:ascii="宋体" w:hAnsi="宋体" w:cs="宋体"/>
                <w:szCs w:val="21"/>
                <w:highlight w:val="none"/>
              </w:rPr>
              <w:t>平方米左右</w:t>
            </w:r>
            <w:r>
              <w:rPr>
                <w:rFonts w:hint="eastAsia" w:ascii="宋体" w:hAnsi="宋体" w:cs="宋体"/>
                <w:szCs w:val="21"/>
                <w:highlight w:val="none"/>
                <w:lang w:eastAsia="zh-CN"/>
              </w:rPr>
              <w:t>，</w:t>
            </w:r>
            <w:r>
              <w:rPr>
                <w:rFonts w:hint="eastAsia" w:ascii="宋体" w:hAnsi="宋体" w:cs="宋体"/>
                <w:szCs w:val="21"/>
                <w:highlight w:val="none"/>
                <w:lang w:val="en-US" w:eastAsia="zh-CN"/>
              </w:rPr>
              <w:t>库房面积2000平方米左右</w:t>
            </w:r>
            <w:r>
              <w:rPr>
                <w:rFonts w:hint="eastAsia" w:ascii="宋体" w:hAnsi="宋体" w:cs="宋体"/>
                <w:szCs w:val="21"/>
                <w:highlight w:val="none"/>
              </w:rPr>
              <w:t>，主要设备包括：主要</w:t>
            </w:r>
            <w:r>
              <w:rPr>
                <w:rFonts w:hint="eastAsia" w:ascii="宋体" w:hAnsi="宋体" w:cs="宋体"/>
                <w:szCs w:val="21"/>
                <w:highlight w:val="none"/>
                <w:lang w:val="en-US" w:eastAsia="zh-CN"/>
              </w:rPr>
              <w:t>设备</w:t>
            </w:r>
            <w:r>
              <w:rPr>
                <w:rFonts w:hint="eastAsia" w:ascii="宋体" w:hAnsi="宋体" w:cs="宋体"/>
                <w:szCs w:val="21"/>
                <w:highlight w:val="none"/>
              </w:rPr>
              <w:t>主要设备为办公设备为笔记本电脑、台式电脑、打印机、电话等，生产设备为提取罐、干燥机、灯检机、制粒机、包衣机、压片机、反应釜等</w:t>
            </w:r>
            <w:r>
              <w:rPr>
                <w:sz w:val="20"/>
                <w:highlight w:val="none"/>
              </w:rPr>
              <w:t>的生产</w:t>
            </w:r>
            <w:r>
              <w:rPr>
                <w:rFonts w:hint="eastAsia" w:ascii="宋体" w:hAnsi="宋体" w:cs="宋体"/>
                <w:szCs w:val="21"/>
                <w:highlight w:val="none"/>
                <w:lang w:val="en-US" w:eastAsia="zh-CN"/>
              </w:rPr>
              <w:t>的</w:t>
            </w:r>
            <w:r>
              <w:rPr>
                <w:rFonts w:hint="eastAsia" w:ascii="宋体" w:hAnsi="宋体" w:cs="宋体"/>
                <w:szCs w:val="21"/>
                <w:highlight w:val="none"/>
              </w:rPr>
              <w:t>需要。特种设备：</w:t>
            </w:r>
            <w:r>
              <w:rPr>
                <w:rFonts w:hint="eastAsia" w:ascii="宋体" w:hAnsi="宋体" w:cs="宋体"/>
                <w:szCs w:val="21"/>
                <w:highlight w:val="none"/>
                <w:lang w:val="en-US" w:eastAsia="zh-CN"/>
              </w:rPr>
              <w:t>锅炉、储气罐、电梯</w:t>
            </w:r>
            <w:r>
              <w:rPr>
                <w:rFonts w:hint="eastAsia" w:ascii="宋体" w:hAnsi="宋体" w:cs="宋体"/>
                <w:szCs w:val="21"/>
                <w:highlight w:val="none"/>
              </w:rPr>
              <w:t>。公司未建立信息管理系统用于</w:t>
            </w:r>
            <w:bookmarkEnd w:id="19"/>
            <w:r>
              <w:rPr>
                <w:rFonts w:hint="eastAsia" w:ascii="宋体" w:hAnsi="宋体" w:cs="宋体"/>
                <w:szCs w:val="21"/>
                <w:highlight w:val="none"/>
              </w:rPr>
              <w:t>生产和服务。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highlight w:val="none"/>
              </w:rPr>
            </w:pPr>
          </w:p>
        </w:tc>
        <w:tc>
          <w:tcPr>
            <w:tcW w:w="9198" w:type="dxa"/>
          </w:tcPr>
          <w:p>
            <w:pPr>
              <w:spacing w:line="240" w:lineRule="exact"/>
              <w:rPr>
                <w:rFonts w:ascii="宋体" w:hAnsi="宋体"/>
                <w:b/>
                <w:color w:val="000000" w:themeColor="text1"/>
                <w:sz w:val="20"/>
                <w:szCs w:val="20"/>
                <w:highlight w:val="none"/>
              </w:rPr>
            </w:pPr>
            <w:r>
              <w:rPr>
                <w:rFonts w:hint="eastAsia" w:ascii="宋体" w:hAnsi="宋体"/>
                <w:b/>
                <w:color w:val="000000" w:themeColor="text1"/>
                <w:sz w:val="20"/>
                <w:szCs w:val="20"/>
                <w:highlight w:val="none"/>
              </w:rPr>
              <w:t>过程运行环境</w:t>
            </w:r>
          </w:p>
          <w:p>
            <w:pPr>
              <w:spacing w:line="240" w:lineRule="exact"/>
              <w:ind w:firstLine="420" w:firstLineChars="200"/>
              <w:rPr>
                <w:rFonts w:ascii="宋体" w:hAnsi="宋体"/>
                <w:b/>
                <w:color w:val="000000" w:themeColor="text1"/>
                <w:sz w:val="20"/>
                <w:szCs w:val="20"/>
                <w:highlight w:val="none"/>
              </w:rPr>
            </w:pPr>
            <w:r>
              <w:rPr>
                <w:rFonts w:hint="eastAsia" w:ascii="宋体" w:hAnsi="宋体" w:cs="宋体"/>
                <w:szCs w:val="21"/>
                <w:highlight w:val="none"/>
              </w:rPr>
              <w:t>办公和作业所场设备布置合理，通道畅通，照明设施齐全，均配备了消防设施等设施。办公室明亮，作业场所光线较充足。每月由行政部对工作环境进行定期检查。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highlight w:val="none"/>
              </w:rPr>
            </w:pPr>
          </w:p>
        </w:tc>
        <w:tc>
          <w:tcPr>
            <w:tcW w:w="9198" w:type="dxa"/>
          </w:tcPr>
          <w:p>
            <w:pPr>
              <w:spacing w:line="240" w:lineRule="exact"/>
              <w:rPr>
                <w:rFonts w:ascii="宋体" w:hAnsi="宋体"/>
                <w:b/>
                <w:color w:val="000000" w:themeColor="text1"/>
                <w:sz w:val="20"/>
                <w:szCs w:val="20"/>
                <w:highlight w:val="none"/>
              </w:rPr>
            </w:pPr>
            <w:r>
              <w:rPr>
                <w:rFonts w:hint="eastAsia" w:ascii="宋体" w:hAnsi="宋体"/>
                <w:b/>
                <w:color w:val="000000" w:themeColor="text1"/>
                <w:sz w:val="20"/>
                <w:szCs w:val="20"/>
                <w:highlight w:val="none"/>
              </w:rPr>
              <w:t>监视和测量资源</w:t>
            </w:r>
          </w:p>
          <w:p>
            <w:pPr>
              <w:spacing w:line="400" w:lineRule="exact"/>
              <w:rPr>
                <w:rFonts w:hint="default" w:ascii="宋体" w:hAnsi="宋体" w:eastAsia="宋体"/>
                <w:b/>
                <w:color w:val="000000" w:themeColor="text1"/>
                <w:sz w:val="20"/>
                <w:szCs w:val="20"/>
                <w:highlight w:val="none"/>
                <w:lang w:val="en-US" w:eastAsia="zh-CN"/>
              </w:rPr>
            </w:pPr>
            <w:r>
              <w:rPr>
                <w:rFonts w:hint="eastAsia" w:ascii="宋体" w:hAnsi="宋体" w:cs="宋体"/>
                <w:szCs w:val="21"/>
                <w:highlight w:val="none"/>
                <w:lang w:val="en-US" w:eastAsia="zh-CN"/>
              </w:rPr>
              <w:t>公司监视和测量设备包括</w:t>
            </w:r>
            <w:r>
              <w:rPr>
                <w:rFonts w:hint="eastAsia"/>
                <w:highlight w:val="none"/>
                <w:lang w:val="en-US" w:eastAsia="zh-CN"/>
              </w:rPr>
              <w:t>渗透压测定仪、熔点仪、数字粘度计、高效液相色谱仪、电子天平等88项</w:t>
            </w:r>
            <w:r>
              <w:rPr>
                <w:rFonts w:hint="eastAsia" w:ascii="宋体" w:hAnsi="宋体" w:cs="宋体"/>
                <w:szCs w:val="21"/>
                <w:highlight w:val="none"/>
                <w:lang w:val="en-US" w:eastAsia="zh-CN"/>
              </w:rPr>
              <w:t>。提供有效的校准证书，见附件。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highlight w:val="none"/>
              </w:rPr>
            </w:pPr>
          </w:p>
        </w:tc>
        <w:tc>
          <w:tcPr>
            <w:tcW w:w="9198" w:type="dxa"/>
          </w:tcPr>
          <w:p>
            <w:pPr>
              <w:spacing w:line="240" w:lineRule="exact"/>
              <w:rPr>
                <w:rFonts w:ascii="宋体" w:hAnsi="宋体"/>
                <w:b/>
                <w:color w:val="000000" w:themeColor="text1"/>
                <w:sz w:val="20"/>
                <w:szCs w:val="20"/>
                <w:highlight w:val="none"/>
              </w:rPr>
            </w:pPr>
            <w:r>
              <w:rPr>
                <w:rFonts w:hint="eastAsia" w:ascii="宋体" w:hAnsi="宋体"/>
                <w:b/>
                <w:color w:val="000000" w:themeColor="text1"/>
                <w:sz w:val="20"/>
                <w:szCs w:val="20"/>
                <w:highlight w:val="none"/>
              </w:rPr>
              <w:t>知识</w:t>
            </w:r>
          </w:p>
          <w:p>
            <w:pPr>
              <w:spacing w:line="400" w:lineRule="exact"/>
              <w:ind w:firstLine="315" w:firstLineChars="150"/>
              <w:rPr>
                <w:rFonts w:ascii="宋体" w:hAnsi="宋体" w:cs="宋体"/>
                <w:color w:val="000000"/>
                <w:szCs w:val="21"/>
                <w:highlight w:val="none"/>
              </w:rPr>
            </w:pPr>
            <w:r>
              <w:rPr>
                <w:rFonts w:hint="eastAsia" w:ascii="宋体" w:hAnsi="宋体" w:cs="宋体"/>
                <w:color w:val="000000"/>
                <w:szCs w:val="21"/>
                <w:highlight w:val="none"/>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240" w:lineRule="exact"/>
              <w:rPr>
                <w:rFonts w:ascii="宋体" w:hAnsi="宋体"/>
                <w:b/>
                <w:color w:val="000000" w:themeColor="text1"/>
                <w:sz w:val="20"/>
                <w:szCs w:val="20"/>
                <w:highlight w:val="none"/>
              </w:rPr>
            </w:pPr>
            <w:r>
              <w:rPr>
                <w:rFonts w:hint="eastAsia" w:ascii="宋体" w:hAnsi="宋体" w:cs="宋体"/>
                <w:color w:val="000000"/>
                <w:szCs w:val="21"/>
                <w:highlight w:val="none"/>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highlight w:val="none"/>
              </w:rPr>
            </w:pPr>
          </w:p>
        </w:tc>
        <w:tc>
          <w:tcPr>
            <w:tcW w:w="9198" w:type="dxa"/>
          </w:tcPr>
          <w:p>
            <w:pPr>
              <w:spacing w:line="240" w:lineRule="exact"/>
              <w:rPr>
                <w:rFonts w:ascii="宋体" w:hAnsi="宋体"/>
                <w:b/>
                <w:color w:val="000000" w:themeColor="text1"/>
                <w:sz w:val="20"/>
                <w:szCs w:val="20"/>
                <w:highlight w:val="none"/>
              </w:rPr>
            </w:pPr>
            <w:r>
              <w:rPr>
                <w:rFonts w:hint="eastAsia" w:ascii="宋体" w:hAnsi="宋体"/>
                <w:b/>
                <w:color w:val="000000" w:themeColor="text1"/>
                <w:sz w:val="20"/>
                <w:szCs w:val="20"/>
                <w:highlight w:val="none"/>
              </w:rPr>
              <w:t>环保设施：</w:t>
            </w:r>
          </w:p>
          <w:p>
            <w:pPr>
              <w:spacing w:line="240" w:lineRule="exact"/>
              <w:ind w:firstLine="200" w:firstLineChars="100"/>
              <w:rPr>
                <w:rFonts w:hint="default" w:ascii="宋体" w:hAnsi="宋体" w:eastAsia="宋体"/>
                <w:sz w:val="20"/>
                <w:szCs w:val="20"/>
                <w:highlight w:val="none"/>
                <w:lang w:val="en-US" w:eastAsia="zh-CN"/>
              </w:rPr>
            </w:pPr>
            <w:r>
              <w:rPr>
                <w:rFonts w:hint="eastAsia" w:ascii="宋体" w:hAnsi="宋体"/>
                <w:sz w:val="20"/>
                <w:szCs w:val="20"/>
                <w:highlight w:val="none"/>
              </w:rPr>
              <w:t>消防栓、灭火器</w:t>
            </w:r>
            <w:r>
              <w:rPr>
                <w:rFonts w:hint="eastAsia" w:ascii="宋体" w:hAnsi="宋体"/>
                <w:sz w:val="20"/>
                <w:szCs w:val="20"/>
                <w:highlight w:val="none"/>
                <w:lang w:eastAsia="zh-CN"/>
              </w:rPr>
              <w:t>、</w:t>
            </w:r>
            <w:r>
              <w:rPr>
                <w:rFonts w:hint="eastAsia" w:ascii="宋体" w:hAnsi="宋体"/>
                <w:sz w:val="20"/>
                <w:szCs w:val="20"/>
                <w:highlight w:val="none"/>
                <w:lang w:val="en-US" w:eastAsia="zh-CN"/>
              </w:rPr>
              <w:t>除尘装置、污水处理站等。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720" w:type="dxa"/>
            <w:textDirection w:val="tbRlV"/>
            <w:vAlign w:val="center"/>
          </w:tcPr>
          <w:p>
            <w:pPr>
              <w:spacing w:line="240" w:lineRule="exact"/>
              <w:ind w:left="113" w:right="113"/>
              <w:jc w:val="center"/>
              <w:rPr>
                <w:b/>
                <w:color w:val="000000" w:themeColor="text1"/>
                <w:szCs w:val="21"/>
                <w:highlight w:val="none"/>
              </w:rPr>
            </w:pPr>
          </w:p>
        </w:tc>
        <w:tc>
          <w:tcPr>
            <w:tcW w:w="9198" w:type="dxa"/>
          </w:tcPr>
          <w:p>
            <w:pPr>
              <w:spacing w:line="240" w:lineRule="exact"/>
              <w:rPr>
                <w:rFonts w:hint="eastAsia" w:ascii="宋体" w:hAnsi="宋体" w:eastAsia="宋体"/>
                <w:sz w:val="20"/>
                <w:szCs w:val="20"/>
                <w:highlight w:val="none"/>
                <w:lang w:val="en-US" w:eastAsia="zh-CN"/>
              </w:rPr>
            </w:pPr>
            <w:r>
              <w:rPr>
                <w:rFonts w:hint="eastAsia" w:ascii="宋体" w:hAnsi="宋体"/>
                <w:b/>
                <w:sz w:val="21"/>
                <w:szCs w:val="21"/>
                <w:highlight w:val="none"/>
              </w:rPr>
              <w:t>职业健康安全设施：</w:t>
            </w:r>
            <w:r>
              <w:rPr>
                <w:rFonts w:hint="eastAsia" w:ascii="宋体" w:hAnsi="宋体"/>
                <w:b/>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6"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highlight w:val="none"/>
              </w:rPr>
            </w:pPr>
            <w:r>
              <w:rPr>
                <w:rFonts w:hint="eastAsia"/>
                <w:b/>
                <w:color w:val="000000" w:themeColor="text1"/>
                <w:sz w:val="20"/>
                <w:szCs w:val="20"/>
                <w:highlight w:val="none"/>
              </w:rPr>
              <w:t>(三)体系运行情况</w:t>
            </w:r>
          </w:p>
        </w:tc>
        <w:tc>
          <w:tcPr>
            <w:tcW w:w="9198" w:type="dxa"/>
          </w:tcPr>
          <w:p>
            <w:pPr>
              <w:spacing w:line="300" w:lineRule="exact"/>
              <w:rPr>
                <w:b/>
                <w:color w:val="000000" w:themeColor="text1"/>
                <w:sz w:val="20"/>
                <w:szCs w:val="20"/>
                <w:highlight w:val="none"/>
              </w:rPr>
            </w:pPr>
            <w:r>
              <w:rPr>
                <w:rFonts w:hint="eastAsia"/>
                <w:b/>
                <w:color w:val="000000" w:themeColor="text1"/>
                <w:sz w:val="20"/>
                <w:szCs w:val="20"/>
                <w:highlight w:val="none"/>
              </w:rPr>
              <w:t>1. 针对方针的管理职责评审</w:t>
            </w:r>
          </w:p>
          <w:p>
            <w:pPr>
              <w:spacing w:line="300" w:lineRule="exact"/>
              <w:ind w:left="1"/>
              <w:rPr>
                <w:b/>
                <w:color w:val="000000" w:themeColor="text1"/>
                <w:sz w:val="20"/>
                <w:szCs w:val="20"/>
                <w:highlight w:val="none"/>
              </w:rPr>
            </w:pPr>
            <w:r>
              <w:rPr>
                <w:rFonts w:hint="eastAsia"/>
                <w:b/>
                <w:color w:val="000000" w:themeColor="text1"/>
                <w:sz w:val="20"/>
                <w:szCs w:val="20"/>
                <w:highlight w:val="none"/>
              </w:rPr>
              <w:t>（包括针对组织宗旨，制定相关管理方针政策、确保方针为员工理解并在运营中实施，监视方针的实施并评审方针的适宜性）</w:t>
            </w:r>
          </w:p>
          <w:p>
            <w:pPr>
              <w:spacing w:line="300" w:lineRule="exact"/>
              <w:ind w:left="1" w:firstLine="420" w:firstLineChars="200"/>
              <w:rPr>
                <w:b/>
                <w:color w:val="000000" w:themeColor="text1"/>
                <w:sz w:val="20"/>
                <w:szCs w:val="20"/>
                <w:highlight w:val="none"/>
              </w:rPr>
            </w:pPr>
            <w:r>
              <w:rPr>
                <w:rFonts w:hint="eastAsia" w:ascii="宋体" w:hAnsi="宋体" w:cs="宋体"/>
                <w:szCs w:val="21"/>
                <w:highlight w:val="none"/>
              </w:rPr>
              <w:t>最高管理者组织制定了方针：现行的方针在手册有专门的释议，具备适宜性。通过会议、张贴等方式进行传达宣贯，管理绩效表明其方针能够通过管理体系加以有效实施、实现及动态管理，实际未发生变更。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highlight w:val="none"/>
              </w:rPr>
            </w:pPr>
          </w:p>
        </w:tc>
        <w:tc>
          <w:tcPr>
            <w:tcW w:w="9198" w:type="dxa"/>
          </w:tcPr>
          <w:p>
            <w:pPr>
              <w:spacing w:line="240" w:lineRule="exact"/>
              <w:ind w:left="159" w:hanging="159" w:hangingChars="79"/>
              <w:rPr>
                <w:b/>
                <w:color w:val="000000" w:themeColor="text1"/>
                <w:sz w:val="20"/>
                <w:szCs w:val="20"/>
                <w:highlight w:val="none"/>
              </w:rPr>
            </w:pPr>
            <w:r>
              <w:rPr>
                <w:rFonts w:hint="eastAsia"/>
                <w:b/>
                <w:color w:val="000000" w:themeColor="text1"/>
                <w:sz w:val="20"/>
                <w:szCs w:val="20"/>
                <w:highlight w:val="none"/>
              </w:rPr>
              <w:t>2. 组织内部沟通的充分性与效果；（OHSMS员工参与风险管理/健康安全事务的关心和影响力；组织对外联络关注顾客的感受情况、</w:t>
            </w:r>
            <w:r>
              <w:rPr>
                <w:b/>
                <w:color w:val="000000" w:themeColor="text1"/>
                <w:sz w:val="20"/>
                <w:szCs w:val="20"/>
                <w:highlight w:val="none"/>
              </w:rPr>
              <w:t>信息交流</w:t>
            </w:r>
            <w:r>
              <w:rPr>
                <w:rFonts w:hint="eastAsia"/>
                <w:b/>
                <w:color w:val="000000" w:themeColor="text1"/>
                <w:sz w:val="20"/>
                <w:szCs w:val="20"/>
                <w:highlight w:val="none"/>
              </w:rPr>
              <w:t>包括通报相关方的情况等）</w:t>
            </w:r>
          </w:p>
          <w:p>
            <w:pPr>
              <w:spacing w:line="240" w:lineRule="exact"/>
              <w:rPr>
                <w:rFonts w:ascii="楷体_GB2312" w:eastAsia="楷体_GB2312"/>
                <w:b/>
                <w:color w:val="000000" w:themeColor="text1"/>
                <w:sz w:val="20"/>
                <w:szCs w:val="20"/>
                <w:highlight w:val="none"/>
              </w:rPr>
            </w:pPr>
          </w:p>
          <w:p>
            <w:pPr>
              <w:spacing w:line="240" w:lineRule="exact"/>
              <w:rPr>
                <w:rFonts w:ascii="楷体_GB2312" w:eastAsia="楷体_GB2312"/>
                <w:b/>
                <w:color w:val="000000" w:themeColor="text1"/>
                <w:sz w:val="20"/>
                <w:szCs w:val="20"/>
                <w:highlight w:val="none"/>
              </w:rPr>
            </w:pPr>
            <w:r>
              <w:rPr>
                <w:rFonts w:hint="eastAsia" w:ascii="楷体_GB2312" w:eastAsia="楷体_GB2312"/>
                <w:b/>
                <w:color w:val="000000" w:themeColor="text1"/>
                <w:sz w:val="20"/>
                <w:szCs w:val="20"/>
                <w:highlight w:val="none"/>
              </w:rPr>
              <w:t>内部沟通的情况：内部沟通方式：</w:t>
            </w:r>
            <w:r>
              <w:rPr>
                <w:rFonts w:hint="eastAsia" w:ascii="宋体" w:hAnsi="宋体" w:cs="宋体"/>
                <w:color w:val="000000"/>
                <w:szCs w:val="21"/>
                <w:highlight w:val="none"/>
              </w:rPr>
              <w:t>在公司内部主要采用电话、会议、面谈等形式就与产品质量、服务有关问题及与质量管理体系有关问题进行沟通，未发生由于沟通不到位而影响工作的情况。</w:t>
            </w:r>
          </w:p>
          <w:p>
            <w:pPr>
              <w:spacing w:line="240" w:lineRule="exact"/>
              <w:rPr>
                <w:rFonts w:ascii="楷体_GB2312" w:eastAsia="楷体_GB2312"/>
                <w:b/>
                <w:color w:val="000000" w:themeColor="text1"/>
                <w:sz w:val="20"/>
                <w:szCs w:val="20"/>
                <w:highlight w:val="none"/>
              </w:rPr>
            </w:pPr>
            <w:r>
              <w:rPr>
                <w:rFonts w:hint="eastAsia" w:ascii="楷体_GB2312" w:eastAsia="楷体_GB2312"/>
                <w:b/>
                <w:color w:val="000000" w:themeColor="text1"/>
                <w:sz w:val="20"/>
                <w:szCs w:val="20"/>
                <w:highlight w:val="none"/>
              </w:rPr>
              <w:t xml:space="preserve">                内部沟通的效果：良好</w:t>
            </w:r>
          </w:p>
          <w:p>
            <w:pPr>
              <w:spacing w:line="240" w:lineRule="exact"/>
              <w:rPr>
                <w:rFonts w:ascii="楷体_GB2312" w:eastAsia="楷体_GB2312"/>
                <w:b/>
                <w:color w:val="000000" w:themeColor="text1"/>
                <w:sz w:val="20"/>
                <w:szCs w:val="20"/>
                <w:highlight w:val="none"/>
              </w:rPr>
            </w:pPr>
          </w:p>
          <w:p>
            <w:pPr>
              <w:spacing w:line="240" w:lineRule="exact"/>
              <w:rPr>
                <w:rFonts w:ascii="楷体_GB2312" w:eastAsia="楷体_GB2312"/>
                <w:b/>
                <w:color w:val="000000" w:themeColor="text1"/>
                <w:sz w:val="20"/>
                <w:szCs w:val="20"/>
                <w:highlight w:val="none"/>
              </w:rPr>
            </w:pPr>
            <w:r>
              <w:rPr>
                <w:rFonts w:hint="eastAsia" w:ascii="楷体_GB2312" w:eastAsia="楷体_GB2312"/>
                <w:b/>
                <w:color w:val="000000" w:themeColor="text1"/>
                <w:sz w:val="20"/>
                <w:szCs w:val="20"/>
                <w:highlight w:val="none"/>
              </w:rPr>
              <w:t>组织对外联络，关注顾客的感受情况（QMS）：采取顾客满意度调查方式了解顾客感受。</w:t>
            </w:r>
          </w:p>
          <w:p>
            <w:pPr>
              <w:spacing w:line="240" w:lineRule="exact"/>
              <w:rPr>
                <w:rFonts w:ascii="楷体_GB2312" w:eastAsia="楷体_GB2312"/>
                <w:b/>
                <w:color w:val="000000" w:themeColor="text1"/>
                <w:sz w:val="20"/>
                <w:szCs w:val="20"/>
                <w:highlight w:val="none"/>
              </w:rPr>
            </w:pPr>
          </w:p>
          <w:p>
            <w:pPr>
              <w:spacing w:line="240" w:lineRule="exact"/>
              <w:rPr>
                <w:rFonts w:ascii="楷体_GB2312" w:eastAsia="楷体_GB2312"/>
                <w:b/>
                <w:color w:val="000000" w:themeColor="text1"/>
                <w:sz w:val="20"/>
                <w:szCs w:val="20"/>
                <w:highlight w:val="none"/>
              </w:rPr>
            </w:pPr>
            <w:r>
              <w:rPr>
                <w:rFonts w:hint="eastAsia" w:ascii="楷体_GB2312" w:eastAsia="楷体_GB2312"/>
                <w:b/>
                <w:color w:val="000000" w:themeColor="text1"/>
                <w:sz w:val="20"/>
                <w:szCs w:val="20"/>
                <w:highlight w:val="none"/>
              </w:rPr>
              <w:t>外部信息的接收、成文并答复的情况（E、S填写）：对会议通知和规定等登记处理</w:t>
            </w:r>
          </w:p>
          <w:p>
            <w:pPr>
              <w:spacing w:line="240" w:lineRule="exact"/>
              <w:rPr>
                <w:rFonts w:ascii="楷体_GB2312" w:eastAsia="楷体_GB2312"/>
                <w:b/>
                <w:color w:val="000000" w:themeColor="text1"/>
                <w:sz w:val="20"/>
                <w:szCs w:val="20"/>
                <w:highlight w:val="none"/>
              </w:rPr>
            </w:pPr>
          </w:p>
          <w:p>
            <w:pPr>
              <w:spacing w:line="240" w:lineRule="exact"/>
              <w:rPr>
                <w:szCs w:val="21"/>
                <w:highlight w:val="none"/>
              </w:rPr>
            </w:pPr>
            <w:r>
              <w:rPr>
                <w:rFonts w:hint="eastAsia" w:ascii="楷体_GB2312" w:eastAsia="楷体_GB2312"/>
                <w:b/>
                <w:color w:val="000000" w:themeColor="text1"/>
                <w:sz w:val="20"/>
                <w:szCs w:val="20"/>
                <w:highlight w:val="none"/>
              </w:rPr>
              <w:t>重要环境因素信息对外交流情况（EMS填写）：</w:t>
            </w:r>
            <w:r>
              <w:rPr>
                <w:rFonts w:hint="eastAsia"/>
                <w:szCs w:val="21"/>
                <w:highlight w:val="none"/>
              </w:rPr>
              <w:t>主要通过网络、交流及公开信、合同等方式进行，并达成一致性意见实施有效控制</w:t>
            </w:r>
          </w:p>
          <w:p>
            <w:pPr>
              <w:spacing w:line="240" w:lineRule="exact"/>
              <w:rPr>
                <w:rFonts w:ascii="楷体_GB2312" w:eastAsia="楷体_GB2312"/>
                <w:b/>
                <w:color w:val="000000" w:themeColor="text1"/>
                <w:sz w:val="20"/>
                <w:szCs w:val="20"/>
                <w:highlight w:val="none"/>
              </w:rPr>
            </w:pPr>
          </w:p>
          <w:p>
            <w:pPr>
              <w:spacing w:line="240" w:lineRule="exact"/>
              <w:rPr>
                <w:rFonts w:ascii="楷体_GB2312" w:eastAsia="楷体_GB2312"/>
                <w:b/>
                <w:color w:val="000000" w:themeColor="text1"/>
                <w:sz w:val="20"/>
                <w:szCs w:val="20"/>
                <w:highlight w:val="none"/>
              </w:rPr>
            </w:pPr>
            <w:r>
              <w:rPr>
                <w:rFonts w:hint="eastAsia" w:ascii="楷体_GB2312" w:eastAsia="楷体_GB2312"/>
                <w:b/>
                <w:color w:val="000000" w:themeColor="text1"/>
                <w:sz w:val="20"/>
                <w:szCs w:val="20"/>
                <w:highlight w:val="none"/>
              </w:rPr>
              <w:t>OHSMS事务代表协商和交流的情况（OHSMS填写）：</w:t>
            </w:r>
          </w:p>
          <w:p>
            <w:pPr>
              <w:spacing w:line="240" w:lineRule="exact"/>
              <w:rPr>
                <w:rFonts w:ascii="楷体_GB2312" w:eastAsia="楷体_GB2312"/>
                <w:b/>
                <w:color w:val="000000" w:themeColor="text1"/>
                <w:szCs w:val="21"/>
                <w:highlight w:val="none"/>
              </w:rPr>
            </w:pPr>
          </w:p>
          <w:p>
            <w:pPr>
              <w:spacing w:line="240" w:lineRule="exact"/>
              <w:rPr>
                <w:rFonts w:ascii="楷体_GB2312" w:eastAsia="楷体_GB2312"/>
                <w:b/>
                <w:color w:val="000000" w:themeColor="text1"/>
                <w:szCs w:val="21"/>
                <w:highlight w:val="none"/>
              </w:rPr>
            </w:pPr>
            <w:r>
              <w:rPr>
                <w:rFonts w:hint="eastAsia" w:ascii="楷体_GB2312" w:eastAsia="楷体_GB2312"/>
                <w:b/>
                <w:color w:val="000000" w:themeColor="text1"/>
                <w:szCs w:val="21"/>
                <w:highlight w:val="none"/>
              </w:rPr>
              <w:t>与相关方协商的情况（OHSMS填写）：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5" w:hRule="atLeast"/>
          <w:jc w:val="center"/>
        </w:trPr>
        <w:tc>
          <w:tcPr>
            <w:tcW w:w="720" w:type="dxa"/>
            <w:vMerge w:val="continue"/>
            <w:vAlign w:val="center"/>
          </w:tcPr>
          <w:p>
            <w:pPr>
              <w:spacing w:line="240" w:lineRule="exact"/>
              <w:jc w:val="center"/>
              <w:rPr>
                <w:b/>
                <w:color w:val="000000" w:themeColor="text1"/>
                <w:szCs w:val="21"/>
                <w:highlight w:val="none"/>
              </w:rPr>
            </w:pPr>
          </w:p>
        </w:tc>
        <w:tc>
          <w:tcPr>
            <w:tcW w:w="9198" w:type="dxa"/>
          </w:tcPr>
          <w:p>
            <w:pPr>
              <w:spacing w:line="240" w:lineRule="exact"/>
              <w:rPr>
                <w:b/>
                <w:color w:val="000000" w:themeColor="text1"/>
                <w:sz w:val="20"/>
                <w:szCs w:val="20"/>
                <w:highlight w:val="none"/>
              </w:rPr>
            </w:pPr>
            <w:r>
              <w:rPr>
                <w:rFonts w:hint="eastAsia"/>
                <w:b/>
                <w:color w:val="000000" w:themeColor="text1"/>
                <w:sz w:val="20"/>
                <w:szCs w:val="20"/>
                <w:highlight w:val="none"/>
              </w:rPr>
              <w:t>3.  QMS 组织对重要过程实施控制的结果</w:t>
            </w:r>
          </w:p>
          <w:p>
            <w:pPr>
              <w:spacing w:line="240" w:lineRule="exact"/>
              <w:ind w:left="188" w:leftChars="42" w:hanging="100" w:hangingChars="50"/>
              <w:rPr>
                <w:b/>
                <w:color w:val="000000" w:themeColor="text1"/>
                <w:sz w:val="20"/>
                <w:szCs w:val="20"/>
                <w:highlight w:val="none"/>
              </w:rPr>
            </w:pPr>
            <w:r>
              <w:rPr>
                <w:rFonts w:hint="eastAsia"/>
                <w:b/>
                <w:color w:val="000000" w:themeColor="text1"/>
                <w:sz w:val="20"/>
                <w:szCs w:val="20"/>
                <w:highlight w:val="none"/>
              </w:rPr>
              <w:t>(包括对QMS关键工序(过程)、特殊过程控制;评价组织对过程实施控制情况/)</w:t>
            </w:r>
          </w:p>
          <w:p>
            <w:pPr>
              <w:spacing w:line="240" w:lineRule="exact"/>
              <w:ind w:firstLine="420" w:firstLineChars="200"/>
              <w:rPr>
                <w:b/>
                <w:color w:val="000000" w:themeColor="text1"/>
                <w:sz w:val="20"/>
                <w:szCs w:val="20"/>
                <w:highlight w:val="none"/>
              </w:rPr>
            </w:pPr>
            <w:r>
              <w:rPr>
                <w:rFonts w:hint="eastAsia" w:ascii="宋体" w:hAnsi="宋体" w:cs="宋体"/>
                <w:color w:val="000000"/>
                <w:szCs w:val="21"/>
                <w:highlight w:val="none"/>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5" w:hRule="atLeast"/>
          <w:jc w:val="center"/>
        </w:trPr>
        <w:tc>
          <w:tcPr>
            <w:tcW w:w="720" w:type="dxa"/>
            <w:vMerge w:val="continue"/>
            <w:vAlign w:val="center"/>
          </w:tcPr>
          <w:p>
            <w:pPr>
              <w:spacing w:line="240" w:lineRule="exact"/>
              <w:jc w:val="center"/>
              <w:rPr>
                <w:b/>
                <w:color w:val="000000" w:themeColor="text1"/>
                <w:szCs w:val="21"/>
                <w:highlight w:val="none"/>
              </w:rPr>
            </w:pPr>
          </w:p>
        </w:tc>
        <w:tc>
          <w:tcPr>
            <w:tcW w:w="9198" w:type="dxa"/>
          </w:tcPr>
          <w:p>
            <w:pPr>
              <w:spacing w:line="300" w:lineRule="exact"/>
              <w:jc w:val="left"/>
              <w:rPr>
                <w:b/>
                <w:color w:val="000000" w:themeColor="text1"/>
                <w:sz w:val="20"/>
                <w:szCs w:val="20"/>
                <w:highlight w:val="none"/>
              </w:rPr>
            </w:pPr>
            <w:r>
              <w:rPr>
                <w:rFonts w:hint="eastAsia"/>
                <w:b/>
                <w:color w:val="000000" w:themeColor="text1"/>
                <w:sz w:val="20"/>
                <w:szCs w:val="20"/>
                <w:highlight w:val="none"/>
              </w:rPr>
              <w:t>4.QMS产品/服务的标准、协议/规范的有效性以及产品/服务质量符合要求，向顾客稳定提供合格产品的情况；</w:t>
            </w:r>
          </w:p>
          <w:p>
            <w:pPr>
              <w:spacing w:line="24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制定并实施了产品检验控制规定，规定了公司各管理层</w:t>
            </w:r>
            <w:r>
              <w:rPr>
                <w:rFonts w:hint="eastAsia" w:ascii="宋体" w:hAnsi="宋体" w:cs="宋体"/>
                <w:color w:val="000000"/>
                <w:szCs w:val="21"/>
                <w:highlight w:val="none"/>
                <w:lang w:val="en-US" w:eastAsia="zh-CN"/>
              </w:rPr>
              <w:t>和质量管理</w:t>
            </w:r>
            <w:r>
              <w:rPr>
                <w:rFonts w:hint="eastAsia" w:ascii="宋体" w:hAnsi="宋体" w:cs="宋体"/>
                <w:color w:val="000000"/>
                <w:szCs w:val="21"/>
                <w:highlight w:val="none"/>
              </w:rPr>
              <w:t>部门在各阶段对产品服务质量实施检查与验收的管理要求。内容基本具备全面性、系统性及可操作性。质量检查与验收均在出厂前予以实现，范围包括：过程、最终产品。以此保证持续向顾客稳定提供稳定合格的产品。</w:t>
            </w:r>
          </w:p>
          <w:p>
            <w:pPr>
              <w:spacing w:line="240" w:lineRule="exact"/>
              <w:rPr>
                <w:b/>
                <w:color w:val="000000" w:themeColor="text1"/>
                <w:sz w:val="20"/>
                <w:szCs w:val="20"/>
                <w:highlight w:val="none"/>
              </w:rPr>
            </w:pPr>
            <w:r>
              <w:rPr>
                <w:rFonts w:hint="eastAsia"/>
                <w:b/>
                <w:color w:val="000000" w:themeColor="text1"/>
                <w:sz w:val="20"/>
                <w:szCs w:val="20"/>
                <w:highlight w:val="none"/>
              </w:rPr>
              <w:t>(应说明相关证据)：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2" w:hRule="atLeast"/>
          <w:jc w:val="center"/>
        </w:trPr>
        <w:tc>
          <w:tcPr>
            <w:tcW w:w="720" w:type="dxa"/>
            <w:vMerge w:val="continue"/>
            <w:vAlign w:val="center"/>
          </w:tcPr>
          <w:p>
            <w:pPr>
              <w:spacing w:line="240" w:lineRule="exact"/>
              <w:jc w:val="center"/>
              <w:rPr>
                <w:b/>
                <w:color w:val="000000" w:themeColor="text1"/>
                <w:szCs w:val="21"/>
                <w:highlight w:val="none"/>
              </w:rPr>
            </w:pPr>
          </w:p>
        </w:tc>
        <w:tc>
          <w:tcPr>
            <w:tcW w:w="9198" w:type="dxa"/>
          </w:tcPr>
          <w:p>
            <w:pPr>
              <w:spacing w:line="240" w:lineRule="exact"/>
              <w:rPr>
                <w:b/>
                <w:color w:val="000000" w:themeColor="text1"/>
                <w:sz w:val="20"/>
                <w:szCs w:val="20"/>
                <w:highlight w:val="none"/>
              </w:rPr>
            </w:pPr>
            <w:r>
              <w:rPr>
                <w:rFonts w:hint="eastAsia"/>
                <w:b/>
                <w:color w:val="000000" w:themeColor="text1"/>
                <w:sz w:val="20"/>
                <w:szCs w:val="20"/>
                <w:highlight w:val="none"/>
              </w:rPr>
              <w:t>5 .QMS国家/地方技术监督部门监测（检测、委托检测、定期监测、型式试验等）、抽查结果</w:t>
            </w:r>
          </w:p>
          <w:p>
            <w:pPr>
              <w:spacing w:line="360" w:lineRule="auto"/>
              <w:ind w:firstLine="210" w:firstLineChars="100"/>
              <w:rPr>
                <w:rFonts w:ascii="宋体" w:hAnsi="宋体" w:cs="宋体"/>
                <w:szCs w:val="21"/>
                <w:highlight w:val="none"/>
              </w:rPr>
            </w:pPr>
            <w:r>
              <w:rPr>
                <w:rFonts w:hint="eastAsia" w:cs="Times New Roman"/>
                <w:szCs w:val="22"/>
                <w:highlight w:val="none"/>
                <w:lang w:val="en-US" w:eastAsia="zh-CN"/>
              </w:rPr>
              <w:t>提供由四川省食品药品检验检测院出具的第三方药品检验报告，详见附件。</w:t>
            </w:r>
          </w:p>
          <w:p>
            <w:pPr>
              <w:spacing w:line="300" w:lineRule="exact"/>
              <w:ind w:firstLine="197" w:firstLineChars="98"/>
              <w:rPr>
                <w:b/>
                <w:color w:val="000000" w:themeColor="text1"/>
                <w:sz w:val="20"/>
                <w:szCs w:val="20"/>
                <w:highlight w:val="none"/>
              </w:rPr>
            </w:pPr>
            <w:r>
              <w:rPr>
                <w:rFonts w:hint="eastAsia"/>
                <w:b/>
                <w:color w:val="000000" w:themeColor="text1"/>
                <w:sz w:val="20"/>
                <w:szCs w:val="20"/>
                <w:highlight w:val="none"/>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jc w:val="center"/>
        </w:trPr>
        <w:tc>
          <w:tcPr>
            <w:tcW w:w="720" w:type="dxa"/>
            <w:vMerge w:val="continue"/>
            <w:vAlign w:val="center"/>
          </w:tcPr>
          <w:p>
            <w:pPr>
              <w:spacing w:line="240" w:lineRule="exact"/>
              <w:jc w:val="center"/>
              <w:rPr>
                <w:b/>
                <w:color w:val="000000" w:themeColor="text1"/>
                <w:szCs w:val="21"/>
                <w:highlight w:val="none"/>
              </w:rPr>
            </w:pPr>
          </w:p>
        </w:tc>
        <w:tc>
          <w:tcPr>
            <w:tcW w:w="9198" w:type="dxa"/>
          </w:tcPr>
          <w:p>
            <w:pPr>
              <w:spacing w:line="240" w:lineRule="exact"/>
              <w:rPr>
                <w:b/>
                <w:color w:val="000000" w:themeColor="text1"/>
                <w:spacing w:val="-8"/>
                <w:sz w:val="20"/>
                <w:szCs w:val="20"/>
                <w:highlight w:val="none"/>
              </w:rPr>
            </w:pPr>
            <w:r>
              <w:rPr>
                <w:rFonts w:hint="eastAsia"/>
                <w:b/>
                <w:color w:val="000000" w:themeColor="text1"/>
                <w:sz w:val="20"/>
                <w:szCs w:val="20"/>
                <w:highlight w:val="none"/>
              </w:rPr>
              <w:t xml:space="preserve">6. </w:t>
            </w:r>
            <w:r>
              <w:rPr>
                <w:rFonts w:hint="eastAsia"/>
                <w:b/>
                <w:color w:val="000000" w:themeColor="text1"/>
                <w:spacing w:val="-8"/>
                <w:sz w:val="20"/>
                <w:szCs w:val="20"/>
                <w:highlight w:val="none"/>
              </w:rPr>
              <w:t>不合格品/项的识别、控制;</w:t>
            </w:r>
          </w:p>
          <w:p>
            <w:pPr>
              <w:spacing w:line="240" w:lineRule="exact"/>
              <w:ind w:firstLine="420" w:firstLineChars="200"/>
              <w:rPr>
                <w:b/>
                <w:color w:val="000000" w:themeColor="text1"/>
                <w:sz w:val="20"/>
                <w:szCs w:val="20"/>
                <w:highlight w:val="none"/>
              </w:rPr>
            </w:pPr>
            <w:r>
              <w:rPr>
                <w:rFonts w:hint="eastAsia" w:ascii="宋体" w:hAnsi="宋体" w:cs="宋体"/>
                <w:color w:val="000000"/>
                <w:szCs w:val="21"/>
                <w:highlight w:val="none"/>
                <w:lang w:val="en-US" w:eastAsia="zh-CN"/>
              </w:rPr>
              <w:t>现场</w:t>
            </w:r>
            <w:r>
              <w:rPr>
                <w:rFonts w:hint="eastAsia" w:ascii="宋体" w:hAnsi="宋体" w:cs="宋体"/>
                <w:color w:val="000000"/>
                <w:szCs w:val="21"/>
                <w:highlight w:val="none"/>
              </w:rPr>
              <w:t>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vAlign w:val="center"/>
          </w:tcPr>
          <w:p>
            <w:pPr>
              <w:spacing w:line="240" w:lineRule="exact"/>
              <w:jc w:val="center"/>
              <w:rPr>
                <w:b/>
                <w:color w:val="000000" w:themeColor="text1"/>
                <w:szCs w:val="21"/>
                <w:highlight w:val="none"/>
              </w:rPr>
            </w:pPr>
          </w:p>
        </w:tc>
        <w:tc>
          <w:tcPr>
            <w:tcW w:w="9198" w:type="dxa"/>
          </w:tcPr>
          <w:p>
            <w:pPr>
              <w:spacing w:line="240" w:lineRule="exact"/>
              <w:rPr>
                <w:b/>
                <w:color w:val="000000" w:themeColor="text1"/>
                <w:sz w:val="20"/>
                <w:szCs w:val="20"/>
                <w:highlight w:val="none"/>
              </w:rPr>
            </w:pPr>
            <w:r>
              <w:rPr>
                <w:rFonts w:hint="eastAsia"/>
                <w:b/>
                <w:color w:val="000000" w:themeColor="text1"/>
                <w:sz w:val="20"/>
                <w:szCs w:val="20"/>
                <w:highlight w:val="none"/>
              </w:rPr>
              <w:t>7. EMS组织对重要环境因素实施控制的结果</w:t>
            </w:r>
          </w:p>
          <w:p>
            <w:pPr>
              <w:spacing w:line="240" w:lineRule="exact"/>
              <w:rPr>
                <w:b/>
                <w:color w:val="000000" w:themeColor="text1"/>
                <w:sz w:val="20"/>
                <w:szCs w:val="20"/>
                <w:highlight w:val="none"/>
              </w:rPr>
            </w:pPr>
            <w:r>
              <w:rPr>
                <w:rFonts w:hint="eastAsia"/>
                <w:b/>
                <w:color w:val="000000" w:themeColor="text1"/>
                <w:sz w:val="20"/>
                <w:szCs w:val="20"/>
                <w:highlight w:val="none"/>
              </w:rPr>
              <w:t>（EMS对重要环境因素控制，重大环境因素对周边环境产生的影响及控制;对相关方施加影响）</w:t>
            </w:r>
          </w:p>
          <w:p>
            <w:pPr>
              <w:spacing w:line="420" w:lineRule="exact"/>
              <w:ind w:firstLine="420" w:firstLineChars="200"/>
              <w:rPr>
                <w:rFonts w:asciiTheme="minorEastAsia" w:hAnsiTheme="minorEastAsia" w:eastAsiaTheme="minorEastAsia"/>
                <w:bCs/>
                <w:iCs/>
                <w:highlight w:val="none"/>
              </w:rPr>
            </w:pPr>
            <w:r>
              <w:rPr>
                <w:rFonts w:hint="eastAsia" w:asciiTheme="minorEastAsia" w:hAnsiTheme="minorEastAsia" w:eastAsiaTheme="minorEastAsia"/>
                <w:bCs/>
                <w:iCs/>
                <w:highlight w:val="none"/>
              </w:rPr>
              <w:t>组织重要环境因素为</w:t>
            </w:r>
            <w:r>
              <w:rPr>
                <w:rFonts w:hint="eastAsia" w:asciiTheme="minorEastAsia" w:hAnsiTheme="minorEastAsia" w:eastAsiaTheme="minorEastAsia"/>
                <w:bCs/>
                <w:iCs/>
                <w:highlight w:val="none"/>
                <w:lang w:eastAsia="zh-CN"/>
              </w:rPr>
              <w:t>：</w:t>
            </w:r>
            <w:r>
              <w:rPr>
                <w:rFonts w:hint="eastAsia" w:ascii="宋体" w:hAnsi="宋体" w:cs="Times New Roman"/>
                <w:spacing w:val="-8"/>
                <w:szCs w:val="21"/>
                <w:lang w:val="en-US" w:eastAsia="zh-CN"/>
              </w:rPr>
              <w:t>1）潜在火灾；2）噪声的排放；3）固体废弃物（含危废）排放；4）废水；5）粉尘；6）废气</w:t>
            </w:r>
            <w:r>
              <w:rPr>
                <w:rFonts w:hint="eastAsia"/>
                <w:szCs w:val="22"/>
                <w:highlight w:val="none"/>
                <w:lang w:val="en-US" w:eastAsia="zh-CN"/>
              </w:rPr>
              <w:t>等</w:t>
            </w:r>
            <w:r>
              <w:rPr>
                <w:rFonts w:hint="eastAsia" w:asciiTheme="minorEastAsia" w:hAnsiTheme="minorEastAsia" w:eastAsiaTheme="minorEastAsia"/>
                <w:bCs/>
                <w:iCs/>
                <w:highlight w:val="none"/>
              </w:rPr>
              <w:t>，需要应对的风险和机遇相关的过程为</w:t>
            </w:r>
            <w:r>
              <w:rPr>
                <w:rFonts w:hint="eastAsia" w:asciiTheme="minorEastAsia" w:hAnsiTheme="minorEastAsia" w:eastAsiaTheme="minorEastAsia"/>
                <w:bCs/>
                <w:iCs/>
                <w:highlight w:val="none"/>
                <w:lang w:val="en-US" w:eastAsia="zh-CN"/>
              </w:rPr>
              <w:t>设计开发</w:t>
            </w:r>
            <w:r>
              <w:rPr>
                <w:rFonts w:hint="eastAsia" w:asciiTheme="minorEastAsia" w:hAnsiTheme="minorEastAsia" w:eastAsiaTheme="minorEastAsia"/>
                <w:bCs/>
                <w:iCs/>
                <w:highlight w:val="none"/>
              </w:rPr>
              <w:t>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应急预案。</w:t>
            </w:r>
          </w:p>
          <w:p>
            <w:pPr>
              <w:spacing w:line="240" w:lineRule="exact"/>
              <w:rPr>
                <w:b/>
                <w:color w:val="000000" w:themeColor="text1"/>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jc w:val="center"/>
        </w:trPr>
        <w:tc>
          <w:tcPr>
            <w:tcW w:w="720" w:type="dxa"/>
            <w:vMerge w:val="continue"/>
            <w:vAlign w:val="center"/>
          </w:tcPr>
          <w:p>
            <w:pPr>
              <w:spacing w:line="240" w:lineRule="exact"/>
              <w:jc w:val="center"/>
              <w:rPr>
                <w:b/>
                <w:color w:val="000000" w:themeColor="text1"/>
                <w:szCs w:val="21"/>
                <w:highlight w:val="none"/>
              </w:rPr>
            </w:pPr>
          </w:p>
        </w:tc>
        <w:tc>
          <w:tcPr>
            <w:tcW w:w="9198" w:type="dxa"/>
          </w:tcPr>
          <w:p>
            <w:pPr>
              <w:numPr>
                <w:ilvl w:val="0"/>
                <w:numId w:val="3"/>
              </w:numPr>
              <w:spacing w:line="240" w:lineRule="exact"/>
              <w:rPr>
                <w:rFonts w:hint="eastAsia"/>
                <w:highlight w:val="none"/>
              </w:rPr>
            </w:pPr>
            <w:r>
              <w:rPr>
                <w:highlight w:val="none"/>
              </w:rPr>
              <w:t>OHSMS</w:t>
            </w:r>
            <w:r>
              <w:rPr>
                <w:rFonts w:hint="eastAsia"/>
                <w:highlight w:val="none"/>
              </w:rPr>
              <w:t>组织对不可接受风险实施控制的结果</w:t>
            </w:r>
          </w:p>
          <w:p>
            <w:pPr>
              <w:pStyle w:val="3"/>
              <w:numPr>
                <w:ilvl w:val="0"/>
                <w:numId w:val="0"/>
              </w:numPr>
              <w:rPr>
                <w:rFonts w:hint="eastAsia" w:eastAsia="宋体"/>
                <w:highlight w:val="none"/>
                <w:lang w:val="en-US" w:eastAsia="zh-CN"/>
              </w:rPr>
            </w:pPr>
            <w:r>
              <w:rPr>
                <w:rFonts w:hint="eastAsia"/>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4" w:hRule="atLeast"/>
          <w:jc w:val="center"/>
        </w:trPr>
        <w:tc>
          <w:tcPr>
            <w:tcW w:w="720" w:type="dxa"/>
            <w:vMerge w:val="continue"/>
            <w:vAlign w:val="center"/>
          </w:tcPr>
          <w:p>
            <w:pPr>
              <w:spacing w:line="240" w:lineRule="exact"/>
              <w:jc w:val="center"/>
              <w:rPr>
                <w:b/>
                <w:color w:val="000000" w:themeColor="text1"/>
                <w:szCs w:val="21"/>
                <w:highlight w:val="none"/>
              </w:rPr>
            </w:pPr>
          </w:p>
        </w:tc>
        <w:tc>
          <w:tcPr>
            <w:tcW w:w="9198" w:type="dxa"/>
          </w:tcPr>
          <w:p>
            <w:pPr>
              <w:spacing w:line="240" w:lineRule="exact"/>
              <w:ind w:left="201" w:hanging="201" w:hangingChars="100"/>
              <w:rPr>
                <w:b/>
                <w:color w:val="000000" w:themeColor="text1"/>
                <w:sz w:val="20"/>
                <w:szCs w:val="20"/>
                <w:highlight w:val="none"/>
              </w:rPr>
            </w:pPr>
            <w:r>
              <w:rPr>
                <w:rFonts w:hint="eastAsia"/>
                <w:b/>
                <w:color w:val="000000" w:themeColor="text1"/>
                <w:sz w:val="20"/>
                <w:szCs w:val="20"/>
                <w:highlight w:val="none"/>
                <w:lang w:val="en-US" w:eastAsia="zh-CN"/>
              </w:rPr>
              <w:t>9</w:t>
            </w:r>
            <w:r>
              <w:rPr>
                <w:rFonts w:hint="eastAsia"/>
                <w:b/>
                <w:color w:val="000000" w:themeColor="text1"/>
                <w:sz w:val="20"/>
                <w:szCs w:val="20"/>
                <w:highlight w:val="none"/>
              </w:rPr>
              <w:t xml:space="preserve">. 应急准备与相应活动的演练及对预案可行性的评价(当有规定时) </w:t>
            </w:r>
          </w:p>
          <w:p>
            <w:pPr>
              <w:spacing w:line="240" w:lineRule="exact"/>
              <w:ind w:firstLine="420" w:firstLineChars="200"/>
              <w:rPr>
                <w:rFonts w:asciiTheme="minorEastAsia" w:hAnsiTheme="minorEastAsia" w:eastAsiaTheme="minorEastAsia"/>
                <w:b/>
                <w:color w:val="000000" w:themeColor="text1"/>
                <w:spacing w:val="-4"/>
                <w:sz w:val="20"/>
                <w:szCs w:val="20"/>
                <w:highlight w:val="none"/>
              </w:rPr>
            </w:pPr>
            <w:r>
              <w:rPr>
                <w:rFonts w:hint="eastAsia" w:asciiTheme="minorEastAsia" w:hAnsiTheme="minorEastAsia" w:eastAsiaTheme="minorEastAsia"/>
                <w:bCs/>
                <w:iCs/>
                <w:highlight w:val="none"/>
              </w:rPr>
              <w:t>组织识别了紧急情况，应急准备和响应为潜在火灾，识别合理、有效。应急物资配备有灭火器和消防栓，编制有应急预案，并组织了演练，并对应急预案进行了评价。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vAlign w:val="center"/>
          </w:tcPr>
          <w:p>
            <w:pPr>
              <w:spacing w:line="240" w:lineRule="exact"/>
              <w:jc w:val="center"/>
              <w:rPr>
                <w:b/>
                <w:color w:val="000000" w:themeColor="text1"/>
                <w:szCs w:val="21"/>
                <w:highlight w:val="none"/>
              </w:rPr>
            </w:pPr>
          </w:p>
        </w:tc>
        <w:tc>
          <w:tcPr>
            <w:tcW w:w="9198" w:type="dxa"/>
          </w:tcPr>
          <w:p>
            <w:pPr>
              <w:spacing w:line="240" w:lineRule="exact"/>
              <w:rPr>
                <w:b/>
                <w:color w:val="000000" w:themeColor="text1"/>
                <w:sz w:val="20"/>
                <w:szCs w:val="20"/>
                <w:highlight w:val="none"/>
              </w:rPr>
            </w:pPr>
            <w:r>
              <w:rPr>
                <w:rFonts w:hint="eastAsia"/>
                <w:b/>
                <w:color w:val="000000" w:themeColor="text1"/>
                <w:sz w:val="20"/>
                <w:szCs w:val="20"/>
                <w:highlight w:val="none"/>
                <w:lang w:val="en-US" w:eastAsia="zh-CN"/>
              </w:rPr>
              <w:t>10.</w:t>
            </w:r>
            <w:r>
              <w:rPr>
                <w:rFonts w:hint="eastAsia"/>
                <w:b/>
                <w:color w:val="000000" w:themeColor="text1"/>
                <w:sz w:val="20"/>
                <w:szCs w:val="20"/>
                <w:highlight w:val="none"/>
              </w:rPr>
              <w:t xml:space="preserve"> 对特种设备的维护; </w:t>
            </w:r>
            <w:r>
              <w:rPr>
                <w:rFonts w:hint="eastAsia"/>
                <w:b/>
                <w:sz w:val="20"/>
                <w:szCs w:val="20"/>
                <w:highlight w:val="none"/>
              </w:rPr>
              <w:t>（适用时）</w:t>
            </w:r>
          </w:p>
          <w:p>
            <w:pPr>
              <w:spacing w:line="240" w:lineRule="exact"/>
              <w:rPr>
                <w:rFonts w:hint="default" w:eastAsia="宋体"/>
                <w:b/>
                <w:color w:val="000000" w:themeColor="text1"/>
                <w:sz w:val="20"/>
                <w:szCs w:val="20"/>
                <w:highlight w:val="none"/>
                <w:lang w:val="en-US" w:eastAsia="zh-CN"/>
              </w:rPr>
            </w:pPr>
            <w:r>
              <w:rPr>
                <w:rFonts w:hint="eastAsia" w:cs="Times New Roman" w:asciiTheme="minorEastAsia" w:hAnsiTheme="minorEastAsia" w:eastAsiaTheme="minorEastAsia"/>
                <w:bCs/>
                <w:iCs/>
                <w:highlight w:val="none"/>
                <w:lang w:val="en-US" w:eastAsia="zh-CN"/>
              </w:rPr>
              <w:t>提供特种设备维修保养记录及年检报告，见附件。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vAlign w:val="center"/>
          </w:tcPr>
          <w:p>
            <w:pPr>
              <w:spacing w:line="240" w:lineRule="exact"/>
              <w:jc w:val="center"/>
              <w:rPr>
                <w:b/>
                <w:color w:val="000000" w:themeColor="text1"/>
                <w:szCs w:val="21"/>
                <w:highlight w:val="none"/>
              </w:rPr>
            </w:pPr>
          </w:p>
        </w:tc>
        <w:tc>
          <w:tcPr>
            <w:tcW w:w="9198" w:type="dxa"/>
          </w:tcPr>
          <w:p>
            <w:pPr>
              <w:spacing w:line="240" w:lineRule="exact"/>
              <w:rPr>
                <w:b/>
                <w:sz w:val="20"/>
                <w:szCs w:val="20"/>
                <w:highlight w:val="none"/>
              </w:rPr>
            </w:pPr>
            <w:r>
              <w:rPr>
                <w:rFonts w:hint="eastAsia"/>
                <w:b/>
                <w:sz w:val="20"/>
                <w:szCs w:val="20"/>
                <w:highlight w:val="none"/>
              </w:rPr>
              <w:t>1</w:t>
            </w:r>
            <w:r>
              <w:rPr>
                <w:rFonts w:hint="eastAsia"/>
                <w:b/>
                <w:sz w:val="20"/>
                <w:szCs w:val="20"/>
                <w:highlight w:val="none"/>
                <w:lang w:val="en-US" w:eastAsia="zh-CN"/>
              </w:rPr>
              <w:t>1</w:t>
            </w:r>
            <w:r>
              <w:rPr>
                <w:rFonts w:hint="eastAsia"/>
                <w:b/>
                <w:sz w:val="20"/>
                <w:szCs w:val="20"/>
                <w:highlight w:val="none"/>
              </w:rPr>
              <w:t xml:space="preserve"> .对危险化学品销售、使用、储存、运输处置，规定的执行力度(必要时); （适用时）</w:t>
            </w:r>
          </w:p>
          <w:p>
            <w:pPr>
              <w:spacing w:line="240" w:lineRule="exact"/>
              <w:rPr>
                <w:rFonts w:hint="default" w:eastAsia="宋体"/>
                <w:sz w:val="20"/>
                <w:szCs w:val="20"/>
                <w:highlight w:val="none"/>
                <w:lang w:val="en-US" w:eastAsia="zh-CN"/>
              </w:rPr>
            </w:pPr>
            <w:r>
              <w:rPr>
                <w:rFonts w:hint="eastAsia"/>
                <w:sz w:val="20"/>
                <w:szCs w:val="20"/>
                <w:highlight w:val="none"/>
              </w:rPr>
              <w:t>危险化学品：</w:t>
            </w:r>
            <w:r>
              <w:rPr>
                <w:rFonts w:hint="eastAsia"/>
                <w:sz w:val="20"/>
                <w:szCs w:val="20"/>
                <w:highlight w:val="none"/>
                <w:lang w:val="en-US" w:eastAsia="zh-CN"/>
              </w:rPr>
              <w:t>提供存放使用记录，并提供备案记录。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restart"/>
            <w:textDirection w:val="tbRlV"/>
            <w:vAlign w:val="center"/>
          </w:tcPr>
          <w:p>
            <w:pPr>
              <w:spacing w:line="240" w:lineRule="exact"/>
              <w:ind w:left="113" w:right="113"/>
              <w:jc w:val="center"/>
              <w:rPr>
                <w:b/>
                <w:color w:val="000000" w:themeColor="text1"/>
                <w:szCs w:val="21"/>
                <w:highlight w:val="none"/>
              </w:rPr>
            </w:pPr>
            <w:r>
              <w:rPr>
                <w:rFonts w:hint="eastAsia"/>
                <w:b/>
                <w:color w:val="000000" w:themeColor="text1"/>
                <w:szCs w:val="21"/>
                <w:highlight w:val="none"/>
              </w:rPr>
              <w:t>(四)监视测量方面</w:t>
            </w:r>
          </w:p>
        </w:tc>
        <w:tc>
          <w:tcPr>
            <w:tcW w:w="9198" w:type="dxa"/>
          </w:tcPr>
          <w:p>
            <w:pPr>
              <w:spacing w:line="240" w:lineRule="exact"/>
              <w:ind w:left="100" w:hanging="100" w:hangingChars="50"/>
              <w:rPr>
                <w:b/>
                <w:sz w:val="20"/>
                <w:szCs w:val="20"/>
                <w:highlight w:val="none"/>
              </w:rPr>
            </w:pPr>
            <w:r>
              <w:rPr>
                <w:rFonts w:hint="eastAsia"/>
                <w:b/>
                <w:sz w:val="20"/>
                <w:szCs w:val="20"/>
                <w:highlight w:val="none"/>
              </w:rPr>
              <w:t>1. .对质量/环境/职业健康安全目标指标进行定期监测/检查情况（适用时）</w:t>
            </w:r>
          </w:p>
          <w:p>
            <w:pPr>
              <w:spacing w:line="240" w:lineRule="exact"/>
              <w:ind w:firstLine="315" w:firstLineChars="150"/>
              <w:rPr>
                <w:b/>
                <w:sz w:val="20"/>
                <w:szCs w:val="20"/>
                <w:highlight w:val="none"/>
              </w:rPr>
            </w:pPr>
            <w:r>
              <w:rPr>
                <w:rFonts w:hint="eastAsia" w:ascii="宋体" w:hAnsi="宋体" w:cs="宋体"/>
                <w:szCs w:val="21"/>
                <w:highlight w:val="none"/>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20</w:t>
            </w:r>
            <w:r>
              <w:rPr>
                <w:rFonts w:hint="eastAsia" w:ascii="宋体" w:hAnsi="宋体" w:cs="宋体"/>
                <w:szCs w:val="21"/>
                <w:highlight w:val="none"/>
                <w:lang w:val="en-US" w:eastAsia="zh-CN"/>
              </w:rPr>
              <w:t>21</w:t>
            </w:r>
            <w:r>
              <w:rPr>
                <w:rFonts w:hint="eastAsia" w:ascii="宋体" w:hAnsi="宋体" w:cs="宋体"/>
                <w:szCs w:val="21"/>
                <w:highlight w:val="none"/>
              </w:rPr>
              <w:t>年</w:t>
            </w:r>
            <w:r>
              <w:rPr>
                <w:rFonts w:hint="eastAsia" w:ascii="宋体" w:hAnsi="宋体" w:cs="宋体"/>
                <w:szCs w:val="21"/>
                <w:highlight w:val="none"/>
                <w:lang w:val="en-US" w:eastAsia="zh-CN"/>
              </w:rPr>
              <w:t>1</w:t>
            </w:r>
            <w:r>
              <w:rPr>
                <w:rFonts w:hint="eastAsia" w:ascii="宋体" w:hAnsi="宋体" w:cs="宋体"/>
                <w:szCs w:val="21"/>
                <w:highlight w:val="none"/>
              </w:rPr>
              <w:t>月-</w:t>
            </w:r>
            <w:r>
              <w:rPr>
                <w:rFonts w:hint="eastAsia" w:ascii="宋体" w:hAnsi="宋体" w:cs="宋体"/>
                <w:szCs w:val="21"/>
                <w:highlight w:val="none"/>
                <w:lang w:val="en-US" w:eastAsia="zh-CN"/>
              </w:rPr>
              <w:t>2021年3</w:t>
            </w:r>
            <w:r>
              <w:rPr>
                <w:rFonts w:hint="eastAsia" w:ascii="宋体" w:hAnsi="宋体" w:cs="宋体"/>
                <w:szCs w:val="21"/>
                <w:highlight w:val="none"/>
              </w:rPr>
              <w:t>月目标的测量，总体已达到或超过了规定的目标值。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continue"/>
            <w:textDirection w:val="tbRlV"/>
            <w:vAlign w:val="center"/>
          </w:tcPr>
          <w:p>
            <w:pPr>
              <w:spacing w:line="240" w:lineRule="exact"/>
              <w:ind w:left="113" w:right="113"/>
              <w:jc w:val="center"/>
              <w:rPr>
                <w:b/>
                <w:color w:val="000000" w:themeColor="text1"/>
                <w:szCs w:val="21"/>
                <w:highlight w:val="none"/>
              </w:rPr>
            </w:pPr>
          </w:p>
        </w:tc>
        <w:tc>
          <w:tcPr>
            <w:tcW w:w="9198" w:type="dxa"/>
          </w:tcPr>
          <w:p>
            <w:pPr>
              <w:spacing w:line="240" w:lineRule="exact"/>
              <w:ind w:left="100" w:hanging="100" w:hangingChars="50"/>
              <w:rPr>
                <w:b/>
                <w:sz w:val="20"/>
                <w:szCs w:val="20"/>
                <w:highlight w:val="none"/>
              </w:rPr>
            </w:pPr>
            <w:r>
              <w:rPr>
                <w:rFonts w:hint="eastAsia"/>
                <w:b/>
                <w:sz w:val="20"/>
                <w:szCs w:val="20"/>
                <w:highlight w:val="none"/>
              </w:rPr>
              <w:t>2.顾客满意</w:t>
            </w:r>
          </w:p>
          <w:p>
            <w:pPr>
              <w:spacing w:line="240" w:lineRule="exact"/>
              <w:ind w:left="105" w:leftChars="50" w:firstLine="315" w:firstLineChars="150"/>
              <w:rPr>
                <w:b/>
                <w:sz w:val="20"/>
                <w:szCs w:val="20"/>
                <w:highlight w:val="none"/>
              </w:rPr>
            </w:pPr>
            <w:r>
              <w:rPr>
                <w:rFonts w:hint="eastAsia" w:ascii="宋体" w:hAnsi="宋体" w:cs="宋体"/>
                <w:szCs w:val="21"/>
                <w:highlight w:val="none"/>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满意度调查按规定实施，20</w:t>
            </w:r>
            <w:r>
              <w:rPr>
                <w:rFonts w:hint="eastAsia" w:ascii="宋体" w:hAnsi="宋体" w:cs="宋体"/>
                <w:szCs w:val="21"/>
                <w:highlight w:val="none"/>
                <w:lang w:val="en-US" w:eastAsia="zh-CN"/>
              </w:rPr>
              <w:t>21</w:t>
            </w:r>
            <w:r>
              <w:rPr>
                <w:rFonts w:hint="eastAsia" w:ascii="宋体" w:hAnsi="宋体" w:cs="宋体"/>
                <w:szCs w:val="21"/>
                <w:highlight w:val="none"/>
              </w:rPr>
              <w:t>年</w:t>
            </w:r>
            <w:r>
              <w:rPr>
                <w:rFonts w:hint="eastAsia" w:ascii="宋体" w:hAnsi="宋体" w:cs="宋体"/>
                <w:szCs w:val="21"/>
                <w:highlight w:val="none"/>
                <w:lang w:val="en-US" w:eastAsia="zh-CN"/>
              </w:rPr>
              <w:t>1</w:t>
            </w:r>
            <w:r>
              <w:rPr>
                <w:rFonts w:hint="eastAsia" w:ascii="宋体" w:hAnsi="宋体" w:cs="宋体"/>
                <w:szCs w:val="21"/>
                <w:highlight w:val="none"/>
              </w:rPr>
              <w:t>月实施，满意度评价</w:t>
            </w:r>
            <w:r>
              <w:rPr>
                <w:rFonts w:hint="eastAsia" w:ascii="宋体" w:hAnsi="宋体" w:cs="宋体"/>
                <w:szCs w:val="21"/>
                <w:highlight w:val="none"/>
                <w:lang w:val="en-US" w:eastAsia="zh-CN"/>
              </w:rPr>
              <w:t>95.7</w:t>
            </w:r>
            <w:r>
              <w:rPr>
                <w:rFonts w:hint="eastAsia" w:ascii="宋体" w:hAnsi="宋体" w:cs="宋体"/>
                <w:szCs w:val="21"/>
                <w:highlight w:val="none"/>
              </w:rPr>
              <w:t>分，总体实现了顾客满意度的质量目标要求。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3"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highlight w:val="none"/>
              </w:rPr>
            </w:pPr>
          </w:p>
        </w:tc>
        <w:tc>
          <w:tcPr>
            <w:tcW w:w="9198" w:type="dxa"/>
          </w:tcPr>
          <w:p>
            <w:pPr>
              <w:spacing w:line="240" w:lineRule="exact"/>
              <w:rPr>
                <w:b/>
                <w:color w:val="000000" w:themeColor="text1"/>
                <w:sz w:val="20"/>
                <w:szCs w:val="20"/>
                <w:highlight w:val="none"/>
              </w:rPr>
            </w:pPr>
            <w:r>
              <w:rPr>
                <w:rFonts w:hint="eastAsia"/>
                <w:b/>
                <w:color w:val="000000" w:themeColor="text1"/>
                <w:sz w:val="20"/>
                <w:szCs w:val="20"/>
                <w:highlight w:val="none"/>
              </w:rPr>
              <w:t>3. 内审（包括内审策划审核方案中考虑拟审核的过程和区域的状况和重要性）</w:t>
            </w:r>
          </w:p>
          <w:p>
            <w:pPr>
              <w:spacing w:line="240" w:lineRule="exact"/>
              <w:ind w:firstLine="420" w:firstLineChars="200"/>
              <w:rPr>
                <w:rFonts w:hint="default"/>
                <w:b/>
                <w:sz w:val="20"/>
                <w:szCs w:val="20"/>
                <w:highlight w:val="none"/>
                <w:lang w:val="en-US"/>
              </w:rPr>
            </w:pPr>
            <w:r>
              <w:rPr>
                <w:rFonts w:hint="eastAsia" w:ascii="宋体" w:hAnsi="宋体" w:cs="宋体"/>
                <w:szCs w:val="21"/>
                <w:highlight w:val="none"/>
              </w:rPr>
              <w:t>建立有《内部审核控制程序》，规定了内审频次一年一次，内审时间：</w:t>
            </w:r>
            <w:r>
              <w:rPr>
                <w:rFonts w:hint="eastAsia" w:ascii="宋体" w:hAnsi="宋体"/>
                <w:szCs w:val="21"/>
                <w:highlight w:val="none"/>
                <w:lang w:val="en-US" w:eastAsia="zh-CN"/>
              </w:rPr>
              <w:t>2021年4月10日至11日</w:t>
            </w:r>
            <w:r>
              <w:rPr>
                <w:rFonts w:hint="eastAsia" w:ascii="宋体" w:hAnsi="宋体" w:cs="宋体"/>
                <w:szCs w:val="21"/>
                <w:highlight w:val="none"/>
              </w:rPr>
              <w:t>，拟定了审核实施表，明确了内审范围，内审人员经培训合格上岗，能力满足要求，未出现审核本部门情况，内审不符合项</w:t>
            </w:r>
            <w:r>
              <w:rPr>
                <w:rFonts w:hint="eastAsia" w:ascii="宋体" w:hAnsi="宋体" w:cs="宋体"/>
                <w:szCs w:val="21"/>
                <w:highlight w:val="none"/>
                <w:lang w:val="en-US" w:eastAsia="zh-CN"/>
              </w:rPr>
              <w:t>1</w:t>
            </w:r>
            <w:r>
              <w:rPr>
                <w:rFonts w:hint="eastAsia" w:ascii="宋体" w:hAnsi="宋体" w:cs="宋体"/>
                <w:szCs w:val="21"/>
                <w:highlight w:val="none"/>
              </w:rPr>
              <w:t>项，针对该不符合项，已及时采取纠正措</w:t>
            </w:r>
            <w:r>
              <w:rPr>
                <w:rFonts w:hint="eastAsia" w:ascii="宋体" w:hAnsi="宋体" w:cs="宋体"/>
                <w:szCs w:val="21"/>
                <w:highlight w:val="none"/>
              </w:rPr>
              <w:t>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highlight w:val="none"/>
              </w:rPr>
            </w:pPr>
          </w:p>
        </w:tc>
        <w:tc>
          <w:tcPr>
            <w:tcW w:w="9198" w:type="dxa"/>
          </w:tcPr>
          <w:p>
            <w:pPr>
              <w:spacing w:line="240" w:lineRule="exact"/>
              <w:rPr>
                <w:b/>
                <w:color w:val="000000" w:themeColor="text1"/>
                <w:sz w:val="20"/>
                <w:szCs w:val="20"/>
                <w:highlight w:val="none"/>
              </w:rPr>
            </w:pPr>
            <w:r>
              <w:rPr>
                <w:rFonts w:hint="eastAsia"/>
                <w:b/>
                <w:color w:val="000000" w:themeColor="text1"/>
                <w:sz w:val="20"/>
                <w:szCs w:val="20"/>
                <w:highlight w:val="none"/>
              </w:rPr>
              <w:t>4.管理评审（管理评审体系变更需求，纠正和预防措施、体系有效性等）</w:t>
            </w:r>
          </w:p>
          <w:p>
            <w:pPr>
              <w:spacing w:line="240" w:lineRule="exact"/>
              <w:rPr>
                <w:rFonts w:hint="eastAsia" w:ascii="宋体" w:hAnsi="宋体" w:cs="宋体"/>
                <w:szCs w:val="21"/>
                <w:highlight w:val="none"/>
              </w:rPr>
            </w:pPr>
            <w:r>
              <w:rPr>
                <w:rFonts w:hint="eastAsia" w:ascii="宋体" w:hAnsi="宋体" w:cs="宋体"/>
                <w:szCs w:val="21"/>
                <w:highlight w:val="none"/>
              </w:rPr>
              <w:t>管理评审频次为一年一次、本次管理评审于</w:t>
            </w:r>
            <w:r>
              <w:rPr>
                <w:rFonts w:hint="eastAsia" w:ascii="宋体" w:hAnsi="宋体"/>
                <w:szCs w:val="21"/>
                <w:highlight w:val="none"/>
                <w:lang w:eastAsia="zh-CN"/>
              </w:rPr>
              <w:t>202</w:t>
            </w:r>
            <w:r>
              <w:rPr>
                <w:rFonts w:hint="eastAsia" w:ascii="宋体" w:hAnsi="宋体"/>
                <w:szCs w:val="21"/>
                <w:highlight w:val="none"/>
                <w:lang w:val="en-US" w:eastAsia="zh-CN"/>
              </w:rPr>
              <w:t>1</w:t>
            </w:r>
            <w:r>
              <w:rPr>
                <w:rFonts w:hint="eastAsia" w:ascii="宋体" w:hAnsi="宋体"/>
                <w:szCs w:val="21"/>
                <w:highlight w:val="none"/>
                <w:lang w:eastAsia="zh-CN"/>
              </w:rPr>
              <w:t>年</w:t>
            </w:r>
            <w:r>
              <w:rPr>
                <w:rFonts w:hint="eastAsia" w:ascii="宋体" w:hAnsi="宋体"/>
                <w:szCs w:val="21"/>
                <w:highlight w:val="none"/>
                <w:lang w:val="en-US" w:eastAsia="zh-CN"/>
              </w:rPr>
              <w:t>4</w:t>
            </w:r>
            <w:r>
              <w:rPr>
                <w:rFonts w:hint="eastAsia" w:ascii="宋体" w:hAnsi="宋体"/>
                <w:szCs w:val="21"/>
                <w:highlight w:val="none"/>
                <w:lang w:eastAsia="zh-CN"/>
              </w:rPr>
              <w:t>月25日</w:t>
            </w:r>
            <w:r>
              <w:rPr>
                <w:rFonts w:hint="eastAsia" w:ascii="宋体" w:hAnsi="宋体" w:cs="宋体"/>
                <w:szCs w:val="21"/>
                <w:highlight w:val="none"/>
              </w:rPr>
              <w:t>由总经理主持完成、提供主要输入材料有各部门总结，输入信息基本充分和满足要求。输出见“管</w:t>
            </w:r>
            <w:r>
              <w:rPr>
                <w:rFonts w:hint="eastAsia" w:ascii="宋体" w:hAnsi="宋体" w:cs="宋体"/>
                <w:szCs w:val="21"/>
                <w:highlight w:val="none"/>
              </w:rPr>
              <w:t>理评审报告”, 做出了管理体系基本适宜、充分和有效的评审结论。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center"/>
        </w:trPr>
        <w:tc>
          <w:tcPr>
            <w:tcW w:w="720" w:type="dxa"/>
            <w:vMerge w:val="continue"/>
            <w:vAlign w:val="center"/>
          </w:tcPr>
          <w:p>
            <w:pPr>
              <w:spacing w:line="240" w:lineRule="exact"/>
              <w:jc w:val="center"/>
              <w:rPr>
                <w:b/>
                <w:color w:val="000000" w:themeColor="text1"/>
                <w:sz w:val="20"/>
                <w:highlight w:val="none"/>
              </w:rPr>
            </w:pPr>
          </w:p>
        </w:tc>
        <w:tc>
          <w:tcPr>
            <w:tcW w:w="9198" w:type="dxa"/>
          </w:tcPr>
          <w:p>
            <w:pPr>
              <w:spacing w:line="240" w:lineRule="exact"/>
              <w:rPr>
                <w:b/>
                <w:color w:val="000000" w:themeColor="text1"/>
                <w:sz w:val="20"/>
                <w:szCs w:val="20"/>
                <w:highlight w:val="none"/>
              </w:rPr>
            </w:pPr>
            <w:r>
              <w:rPr>
                <w:rFonts w:hint="eastAsia"/>
                <w:b/>
                <w:color w:val="000000" w:themeColor="text1"/>
                <w:sz w:val="20"/>
                <w:szCs w:val="20"/>
                <w:highlight w:val="none"/>
              </w:rPr>
              <w:t>5.  EMS是否按规定对主要污染物（污水、废气、噪声、废渣等）及排放实施了例行的监视或测量，结果是否满足相关要求？</w:t>
            </w:r>
          </w:p>
          <w:p>
            <w:pPr>
              <w:spacing w:line="240" w:lineRule="exact"/>
              <w:ind w:firstLine="200" w:firstLineChars="100"/>
              <w:rPr>
                <w:rFonts w:hint="eastAsia" w:eastAsia="宋体"/>
                <w:sz w:val="20"/>
                <w:szCs w:val="20"/>
                <w:highlight w:val="none"/>
                <w:lang w:val="en-US" w:eastAsia="zh-CN"/>
              </w:rPr>
            </w:pPr>
            <w:r>
              <w:rPr>
                <w:rFonts w:hint="eastAsia"/>
                <w:sz w:val="20"/>
                <w:szCs w:val="20"/>
                <w:highlight w:val="no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jc w:val="center"/>
        </w:trPr>
        <w:tc>
          <w:tcPr>
            <w:tcW w:w="720" w:type="dxa"/>
            <w:vMerge w:val="continue"/>
            <w:vAlign w:val="center"/>
          </w:tcPr>
          <w:p>
            <w:pPr>
              <w:spacing w:line="240" w:lineRule="exact"/>
              <w:jc w:val="center"/>
              <w:rPr>
                <w:b/>
                <w:color w:val="000000" w:themeColor="text1"/>
                <w:sz w:val="20"/>
                <w:highlight w:val="none"/>
              </w:rPr>
            </w:pPr>
          </w:p>
        </w:tc>
        <w:tc>
          <w:tcPr>
            <w:tcW w:w="9198" w:type="dxa"/>
          </w:tcPr>
          <w:p>
            <w:pPr>
              <w:spacing w:line="240" w:lineRule="exact"/>
              <w:rPr>
                <w:b/>
                <w:color w:val="000000" w:themeColor="text1"/>
                <w:sz w:val="20"/>
                <w:szCs w:val="20"/>
                <w:highlight w:val="none"/>
              </w:rPr>
            </w:pPr>
            <w:r>
              <w:rPr>
                <w:rFonts w:hint="eastAsia"/>
                <w:b/>
                <w:color w:val="000000" w:themeColor="text1"/>
                <w:sz w:val="20"/>
                <w:szCs w:val="20"/>
                <w:highlight w:val="none"/>
              </w:rPr>
              <w:t xml:space="preserve">6.  </w:t>
            </w:r>
            <w:r>
              <w:rPr>
                <w:b/>
                <w:color w:val="000000" w:themeColor="text1"/>
                <w:sz w:val="20"/>
                <w:szCs w:val="20"/>
                <w:highlight w:val="none"/>
              </w:rPr>
              <w:t>EMS</w:t>
            </w:r>
            <w:r>
              <w:rPr>
                <w:rFonts w:hint="eastAsia"/>
                <w:b/>
                <w:color w:val="000000" w:themeColor="text1"/>
                <w:sz w:val="20"/>
                <w:szCs w:val="20"/>
                <w:highlight w:val="none"/>
              </w:rPr>
              <w:t xml:space="preserve">国家/地方环保部门监测结果、新改扩建项目符合环评报告、三同时验收报告要求情况及措施 </w:t>
            </w:r>
          </w:p>
          <w:p>
            <w:pPr>
              <w:spacing w:line="240" w:lineRule="exact"/>
              <w:rPr>
                <w:rFonts w:hint="default" w:eastAsia="宋体"/>
                <w:b/>
                <w:color w:val="000000" w:themeColor="text1"/>
                <w:sz w:val="20"/>
                <w:szCs w:val="20"/>
                <w:highlight w:val="none"/>
                <w:lang w:val="en-US" w:eastAsia="zh-CN"/>
              </w:rPr>
            </w:pPr>
            <w:r>
              <w:rPr>
                <w:rFonts w:hint="eastAsia"/>
                <w:b/>
                <w:color w:val="000000" w:themeColor="text1"/>
                <w:sz w:val="20"/>
                <w:szCs w:val="20"/>
                <w:highlight w:val="none"/>
                <w:lang w:val="en-US" w:eastAsia="zh-CN"/>
              </w:rPr>
              <w:t>提供环评报告及验收报告、环境监测报告，详见附件。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highlight w:val="none"/>
              </w:rPr>
            </w:pPr>
          </w:p>
        </w:tc>
        <w:tc>
          <w:tcPr>
            <w:tcW w:w="9198" w:type="dxa"/>
            <w:tcBorders>
              <w:bottom w:val="single" w:color="auto" w:sz="4" w:space="0"/>
            </w:tcBorders>
          </w:tcPr>
          <w:p>
            <w:pPr>
              <w:widowControl/>
              <w:spacing w:line="240" w:lineRule="exact"/>
              <w:rPr>
                <w:b/>
                <w:color w:val="000000" w:themeColor="text1"/>
                <w:sz w:val="20"/>
                <w:szCs w:val="20"/>
                <w:highlight w:val="none"/>
              </w:rPr>
            </w:pPr>
            <w:r>
              <w:rPr>
                <w:rFonts w:hint="eastAsia"/>
                <w:b/>
                <w:color w:val="000000" w:themeColor="text1"/>
                <w:sz w:val="20"/>
                <w:szCs w:val="20"/>
                <w:highlight w:val="none"/>
              </w:rPr>
              <w:t>7. 其他能够标明组织绩效、信誉的证据/信息：</w:t>
            </w:r>
          </w:p>
          <w:p>
            <w:pPr>
              <w:widowControl/>
              <w:spacing w:line="240" w:lineRule="exact"/>
              <w:rPr>
                <w:rFonts w:hint="default" w:eastAsia="宋体"/>
                <w:b/>
                <w:sz w:val="20"/>
                <w:szCs w:val="20"/>
                <w:highlight w:val="none"/>
                <w:lang w:val="en-US" w:eastAsia="zh-CN"/>
              </w:rPr>
            </w:pPr>
            <w:r>
              <w:rPr>
                <w:rFonts w:hint="eastAsia"/>
                <w:b/>
                <w:sz w:val="20"/>
                <w:szCs w:val="20"/>
                <w:highlight w:val="none"/>
                <w:lang w:val="en-US" w:eastAsia="zh-CN"/>
              </w:rPr>
              <w:t>提供药品GMP证书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highlight w:val="none"/>
              </w:rPr>
            </w:pPr>
            <w:r>
              <w:rPr>
                <w:rFonts w:hint="eastAsia"/>
                <w:b/>
                <w:color w:val="000000" w:themeColor="text1"/>
                <w:sz w:val="20"/>
                <w:highlight w:val="none"/>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highlight w:val="none"/>
              </w:rPr>
            </w:pPr>
            <w:r>
              <w:rPr>
                <w:rFonts w:hint="eastAsia"/>
                <w:b/>
                <w:color w:val="000000" w:themeColor="text1"/>
                <w:sz w:val="20"/>
                <w:szCs w:val="20"/>
                <w:highlight w:val="none"/>
              </w:rPr>
              <w:t>1 纠正/预防措施的实施及效果</w:t>
            </w:r>
            <w:r>
              <w:rPr>
                <w:rFonts w:hint="eastAsia"/>
                <w:b/>
                <w:color w:val="000000" w:themeColor="text1"/>
                <w:spacing w:val="-8"/>
                <w:sz w:val="20"/>
                <w:szCs w:val="20"/>
                <w:highlight w:val="none"/>
              </w:rPr>
              <w:t>;</w:t>
            </w:r>
          </w:p>
          <w:p>
            <w:pPr>
              <w:spacing w:line="400" w:lineRule="exact"/>
              <w:ind w:firstLine="420" w:firstLineChars="200"/>
              <w:rPr>
                <w:rFonts w:ascii="宋体" w:hAnsi="宋体"/>
                <w:szCs w:val="21"/>
                <w:highlight w:val="none"/>
              </w:rPr>
            </w:pPr>
            <w:r>
              <w:rPr>
                <w:rFonts w:hint="eastAsia" w:ascii="宋体" w:hAnsi="宋体" w:cs="宋体"/>
                <w:color w:val="000000" w:themeColor="text1"/>
                <w:highlight w:val="none"/>
              </w:rPr>
              <w:t>公司明确通过对内、外审核结果、管理评审输出、监测和测量等活动中识别出</w:t>
            </w:r>
            <w:r>
              <w:rPr>
                <w:rFonts w:hint="eastAsia" w:ascii="宋体" w:hAnsi="宋体"/>
                <w:color w:val="000000" w:themeColor="text1"/>
                <w:highlight w:val="none"/>
              </w:rPr>
              <w:t>在产品/服务、过程、管理体系等方面</w:t>
            </w:r>
            <w:r>
              <w:rPr>
                <w:rFonts w:hint="eastAsia" w:ascii="宋体" w:hAnsi="宋体" w:cs="宋体"/>
                <w:color w:val="000000" w:themeColor="text1"/>
                <w:highlight w:val="none"/>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szCs w:val="21"/>
                <w:highlight w:val="none"/>
              </w:rPr>
              <w:t>纠正措施的有效性需要改善。</w:t>
            </w:r>
          </w:p>
          <w:p>
            <w:pPr>
              <w:spacing w:line="240" w:lineRule="exact"/>
              <w:rPr>
                <w:b/>
                <w:color w:val="000000" w:themeColor="text1"/>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jc w:val="center"/>
        </w:trPr>
        <w:tc>
          <w:tcPr>
            <w:tcW w:w="720" w:type="dxa"/>
            <w:vMerge w:val="continue"/>
            <w:vAlign w:val="center"/>
          </w:tcPr>
          <w:p>
            <w:pPr>
              <w:spacing w:line="240" w:lineRule="exact"/>
              <w:jc w:val="center"/>
              <w:rPr>
                <w:b/>
                <w:color w:val="000000" w:themeColor="text1"/>
                <w:sz w:val="20"/>
                <w:highlight w:val="none"/>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highlight w:val="none"/>
              </w:rPr>
            </w:pPr>
            <w:r>
              <w:rPr>
                <w:rFonts w:hint="eastAsia"/>
                <w:b/>
                <w:color w:val="000000" w:themeColor="text1"/>
                <w:spacing w:val="-20"/>
                <w:sz w:val="20"/>
                <w:szCs w:val="20"/>
                <w:highlight w:val="none"/>
              </w:rPr>
              <w:t>2（近一年）重大事故、顾客/相关方投诉：：</w:t>
            </w:r>
          </w:p>
          <w:p>
            <w:pPr>
              <w:spacing w:line="240" w:lineRule="exact"/>
              <w:rPr>
                <w:b/>
                <w:color w:val="000000" w:themeColor="text1"/>
                <w:sz w:val="20"/>
                <w:szCs w:val="20"/>
                <w:highlight w:val="none"/>
              </w:rPr>
            </w:pPr>
            <w:r>
              <w:rPr>
                <w:rFonts w:hint="eastAsia"/>
                <w:b/>
                <w:color w:val="000000" w:themeColor="text1"/>
                <w:spacing w:val="-20"/>
                <w:sz w:val="20"/>
                <w:szCs w:val="20"/>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9" w:hRule="atLeast"/>
          <w:jc w:val="center"/>
        </w:trPr>
        <w:tc>
          <w:tcPr>
            <w:tcW w:w="720" w:type="dxa"/>
            <w:vMerge w:val="continue"/>
            <w:vAlign w:val="center"/>
          </w:tcPr>
          <w:p>
            <w:pPr>
              <w:spacing w:line="240" w:lineRule="exact"/>
              <w:jc w:val="center"/>
              <w:rPr>
                <w:b/>
                <w:color w:val="000000" w:themeColor="text1"/>
                <w:sz w:val="20"/>
                <w:highlight w:val="none"/>
              </w:rPr>
            </w:pPr>
          </w:p>
        </w:tc>
        <w:tc>
          <w:tcPr>
            <w:tcW w:w="9198" w:type="dxa"/>
            <w:tcBorders>
              <w:top w:val="single" w:color="auto" w:sz="4" w:space="0"/>
              <w:left w:val="single" w:color="auto" w:sz="4" w:space="0"/>
              <w:bottom w:val="single" w:color="auto" w:sz="4" w:space="0"/>
              <w:right w:val="single" w:color="auto" w:sz="4" w:space="0"/>
            </w:tcBorders>
          </w:tcPr>
          <w:p>
            <w:pPr>
              <w:numPr>
                <w:ilvl w:val="0"/>
                <w:numId w:val="4"/>
              </w:numPr>
              <w:spacing w:line="240" w:lineRule="exact"/>
              <w:rPr>
                <w:rFonts w:hint="eastAsia"/>
                <w:highlight w:val="none"/>
              </w:rPr>
            </w:pPr>
            <w:r>
              <w:rPr>
                <w:rFonts w:hint="eastAsia"/>
                <w:highlight w:val="none"/>
              </w:rPr>
              <w:t>一阶段提出问题的整改情况?</w:t>
            </w:r>
          </w:p>
          <w:p>
            <w:pPr>
              <w:pStyle w:val="3"/>
              <w:numPr>
                <w:ilvl w:val="0"/>
                <w:numId w:val="0"/>
              </w:numPr>
              <w:rPr>
                <w:rFonts w:hint="default" w:eastAsia="宋体"/>
                <w:highlight w:val="none"/>
                <w:lang w:val="en-US" w:eastAsia="zh-CN"/>
              </w:rPr>
            </w:pPr>
            <w:r>
              <w:rPr>
                <w:rFonts w:hint="eastAsia"/>
                <w:highlight w:val="none"/>
                <w:lang w:val="en-US" w:eastAsia="zh-CN"/>
              </w:rPr>
              <w:t>经验证，一阶段问题未出现类视情况。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jc w:val="center"/>
        </w:trPr>
        <w:tc>
          <w:tcPr>
            <w:tcW w:w="720" w:type="dxa"/>
            <w:vMerge w:val="continue"/>
            <w:vAlign w:val="center"/>
          </w:tcPr>
          <w:p>
            <w:pPr>
              <w:spacing w:line="240" w:lineRule="exact"/>
              <w:jc w:val="center"/>
              <w:rPr>
                <w:b/>
                <w:color w:val="000000" w:themeColor="text1"/>
                <w:sz w:val="20"/>
                <w:highlight w:val="none"/>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highlight w:val="none"/>
              </w:rPr>
            </w:pPr>
            <w:r>
              <w:rPr>
                <w:rFonts w:hint="eastAsia"/>
                <w:b/>
                <w:color w:val="000000" w:themeColor="text1"/>
                <w:sz w:val="20"/>
                <w:szCs w:val="20"/>
                <w:highlight w:val="none"/>
              </w:rPr>
              <w:t>4.创新情况</w:t>
            </w:r>
          </w:p>
          <w:p>
            <w:pPr>
              <w:spacing w:line="240" w:lineRule="exact"/>
              <w:rPr>
                <w:b/>
                <w:color w:val="000000" w:themeColor="text1"/>
                <w:sz w:val="20"/>
                <w:szCs w:val="20"/>
                <w:highlight w:val="none"/>
              </w:rPr>
            </w:pPr>
            <w:r>
              <w:rPr>
                <w:rFonts w:hint="eastAsia"/>
                <w:b/>
                <w:color w:val="000000" w:themeColor="text1"/>
                <w:sz w:val="20"/>
                <w:szCs w:val="20"/>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720" w:type="dxa"/>
            <w:vMerge w:val="continue"/>
            <w:vAlign w:val="center"/>
          </w:tcPr>
          <w:p>
            <w:pPr>
              <w:spacing w:line="240" w:lineRule="exact"/>
              <w:jc w:val="center"/>
              <w:rPr>
                <w:b/>
                <w:color w:val="000000" w:themeColor="text1"/>
                <w:sz w:val="20"/>
                <w:highlight w:val="none"/>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Cs w:val="21"/>
                <w:highlight w:val="none"/>
              </w:rPr>
            </w:pPr>
            <w:r>
              <w:rPr>
                <w:rFonts w:hint="eastAsia"/>
                <w:b/>
                <w:color w:val="000000" w:themeColor="text1"/>
                <w:szCs w:val="21"/>
                <w:highlight w:val="none"/>
              </w:rPr>
              <w:t>5. 上次不符合的整改情况（再认证填写）</w:t>
            </w:r>
          </w:p>
          <w:p>
            <w:pPr>
              <w:spacing w:line="240" w:lineRule="exact"/>
              <w:rPr>
                <w:b/>
                <w:color w:val="000000" w:themeColor="text1"/>
                <w:szCs w:val="21"/>
                <w:highlight w:val="none"/>
              </w:rPr>
            </w:pPr>
            <w:r>
              <w:rPr>
                <w:rFonts w:hint="eastAsia"/>
                <w:b/>
                <w:color w:val="000000" w:themeColor="text1"/>
                <w:szCs w:val="21"/>
                <w:highlight w:val="none"/>
              </w:rPr>
              <w:t>/</w:t>
            </w:r>
          </w:p>
        </w:tc>
      </w:tr>
    </w:tbl>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1. 本次审核共开具不符合项报告</w:t>
      </w:r>
      <w:r>
        <w:rPr>
          <w:rFonts w:hint="eastAsia"/>
          <w:b/>
          <w:color w:val="000000" w:themeColor="text1"/>
          <w:lang w:val="en-US" w:eastAsia="zh-CN"/>
        </w:rPr>
        <w:t>2</w:t>
      </w:r>
      <w:r>
        <w:rPr>
          <w:rFonts w:hint="eastAsia"/>
          <w:b/>
          <w:color w:val="000000" w:themeColor="text1"/>
        </w:rPr>
        <w:t>项；其中</w:t>
      </w:r>
      <w:r>
        <w:rPr>
          <w:b/>
          <w:color w:val="000000" w:themeColor="text1"/>
        </w:rPr>
        <w:pict>
          <v:line id="直接连接符 1" o:spid="_x0000_s1027" o:spt="20" style="position:absolute;left:0pt;margin-left:210pt;margin-top:16.2pt;height:0pt;width:0pt;z-index:251659264;mso-width-relative:page;mso-height-relative:page;" coordsize="21600,21600" o:allowincell="f">
            <v:path arrowok="t"/>
            <v:fill focussize="0,0"/>
            <v:stroke/>
            <v:imagedata o:title=""/>
            <o:lock v:ext="edit"/>
          </v:line>
        </w:pict>
      </w:r>
      <w:r>
        <w:rPr>
          <w:rFonts w:hint="eastAsia"/>
          <w:b/>
          <w:color w:val="000000" w:themeColor="text1"/>
        </w:rPr>
        <w:t>严重不符合</w:t>
      </w:r>
      <w:r>
        <w:rPr>
          <w:rFonts w:hint="eastAsia"/>
          <w:b/>
          <w:color w:val="000000" w:themeColor="text1"/>
          <w:lang w:val="en-US" w:eastAsia="zh-CN"/>
        </w:rPr>
        <w:t>0</w:t>
      </w:r>
      <w:r>
        <w:rPr>
          <w:rFonts w:hint="eastAsia"/>
          <w:b/>
          <w:color w:val="000000" w:themeColor="text1"/>
        </w:rPr>
        <w:t>项，一般不符合</w:t>
      </w:r>
      <w:r>
        <w:rPr>
          <w:rFonts w:hint="eastAsia"/>
          <w:b/>
          <w:color w:val="000000" w:themeColor="text1"/>
          <w:lang w:val="en-US" w:eastAsia="zh-CN"/>
        </w:rPr>
        <w:t>2</w:t>
      </w:r>
      <w:r>
        <w:rPr>
          <w:rFonts w:hint="eastAsia"/>
          <w:b/>
          <w:color w:val="000000" w:themeColor="text1"/>
        </w:rPr>
        <w:t>项，观察项项分布在部门条款，分布见附件。（Q/J/E/S分开填写）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可能影响本次审核结论可靠性的因素：</w:t>
      </w:r>
    </w:p>
    <w:tbl>
      <w:tblPr>
        <w:tblStyle w:val="10"/>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sym w:font="Wingdings 2" w:char="0052"/>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9"/>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0" w:hRule="atLeast"/>
        </w:trPr>
        <w:tc>
          <w:tcPr>
            <w:tcW w:w="10080" w:type="dxa"/>
          </w:tcPr>
          <w:p>
            <w:pPr>
              <w:spacing w:line="240" w:lineRule="exact"/>
              <w:rPr>
                <w:rFonts w:hint="eastAsia" w:ascii="Times New Roman" w:hAnsi="Times New Roman" w:cs="Times New Roman"/>
                <w:b/>
                <w:color w:val="000000" w:themeColor="text1"/>
                <w:sz w:val="22"/>
                <w:szCs w:val="22"/>
              </w:rPr>
            </w:pPr>
            <w:r>
              <w:rPr>
                <w:rFonts w:hint="eastAsia" w:ascii="Times New Roman" w:hAnsi="Times New Roman" w:cs="Times New Roman"/>
                <w:b/>
                <w:color w:val="000000" w:themeColor="text1"/>
                <w:sz w:val="22"/>
                <w:szCs w:val="22"/>
              </w:rPr>
              <w:t xml:space="preserve">1. </w:t>
            </w:r>
            <w:r>
              <w:rPr>
                <w:rFonts w:hint="eastAsia" w:ascii="Times New Roman" w:hAnsi="Times New Roman" w:cs="Times New Roman"/>
                <w:b/>
                <w:color w:val="000000" w:themeColor="text1"/>
                <w:sz w:val="22"/>
                <w:szCs w:val="22"/>
              </w:rPr>
              <w:sym w:font="Wingdings 2" w:char="0052"/>
            </w:r>
            <w:r>
              <w:rPr>
                <w:rFonts w:hint="eastAsia" w:ascii="Times New Roman" w:hAnsi="Times New Roman" w:cs="Times New Roman"/>
                <w:b/>
                <w:color w:val="000000" w:themeColor="text1"/>
                <w:sz w:val="22"/>
                <w:szCs w:val="22"/>
              </w:rPr>
              <w:t>QMS</w:t>
            </w:r>
            <w:r>
              <w:rPr>
                <w:rFonts w:hint="eastAsia" w:ascii="Times New Roman" w:hAnsi="Times New Roman" w:cs="Times New Roman"/>
                <w:b/>
                <w:color w:val="000000" w:themeColor="text1"/>
                <w:sz w:val="22"/>
                <w:szCs w:val="22"/>
              </w:rPr>
              <w:sym w:font="Wingdings 2" w:char="0052"/>
            </w:r>
            <w:r>
              <w:rPr>
                <w:rFonts w:hint="eastAsia" w:ascii="Times New Roman" w:hAnsi="Times New Roman" w:cs="Times New Roman"/>
                <w:b/>
                <w:color w:val="000000" w:themeColor="text1"/>
                <w:sz w:val="22"/>
                <w:szCs w:val="22"/>
              </w:rPr>
              <w:t>EMS  □OHSMS的适宜性、充分性、运行有效性，自我完善机制等。管理体系满足适用要求和实现预期结果的能力。</w:t>
            </w:r>
          </w:p>
          <w:p>
            <w:pPr>
              <w:spacing w:line="240" w:lineRule="exact"/>
              <w:rPr>
                <w:rFonts w:hint="eastAsia" w:ascii="Times New Roman" w:hAnsi="Times New Roman" w:cs="Times New Roman"/>
                <w:b/>
                <w:color w:val="000000" w:themeColor="text1"/>
                <w:sz w:val="22"/>
                <w:szCs w:val="22"/>
              </w:rPr>
            </w:pPr>
            <w:r>
              <w:rPr>
                <w:rFonts w:hint="eastAsia" w:ascii="Times New Roman" w:hAnsi="Times New Roman" w:cs="Times New Roman"/>
                <w:b/>
                <w:color w:val="000000" w:themeColor="text1"/>
                <w:sz w:val="22"/>
                <w:szCs w:val="22"/>
              </w:rPr>
              <w:t>（描述组织实施“过程控制”，满足标准要求和目标，向顾客提供稳定、合格产品，满足适用的质量/环境/职业健康安全法规要求，防止污染、重大事故和持续改进的情况以及对周边环境产生的影响，措施的有效性）</w:t>
            </w:r>
          </w:p>
          <w:p>
            <w:pPr>
              <w:spacing w:line="240" w:lineRule="exact"/>
              <w:rPr>
                <w:rFonts w:hint="eastAsia" w:ascii="Times New Roman" w:hAnsi="Times New Roman" w:cs="Times New Roman"/>
                <w:b/>
                <w:color w:val="000000" w:themeColor="text1"/>
                <w:sz w:val="22"/>
                <w:szCs w:val="22"/>
              </w:rPr>
            </w:pPr>
            <w:r>
              <w:rPr>
                <w:rFonts w:hint="eastAsia" w:ascii="Times New Roman" w:hAnsi="Times New Roman" w:cs="Times New Roman"/>
                <w:b/>
                <w:color w:val="000000" w:themeColor="text1"/>
                <w:sz w:val="22"/>
                <w:szCs w:val="22"/>
              </w:rPr>
              <w:sym w:font="Wingdings 2" w:char="0052"/>
            </w:r>
            <w:r>
              <w:rPr>
                <w:rFonts w:hint="eastAsia" w:ascii="Times New Roman" w:hAnsi="Times New Roman" w:cs="Times New Roman"/>
                <w:b/>
                <w:color w:val="000000" w:themeColor="text1"/>
                <w:sz w:val="22"/>
                <w:szCs w:val="22"/>
              </w:rPr>
              <w:t xml:space="preserve">QMS  </w:t>
            </w:r>
            <w:r>
              <w:rPr>
                <w:rFonts w:hint="eastAsia" w:ascii="Times New Roman" w:hAnsi="Times New Roman" w:cs="Times New Roman"/>
                <w:b/>
                <w:color w:val="000000" w:themeColor="text1"/>
                <w:sz w:val="22"/>
                <w:szCs w:val="22"/>
              </w:rPr>
              <w:sym w:font="Wingdings 2" w:char="0052"/>
            </w:r>
            <w:r>
              <w:rPr>
                <w:rFonts w:hint="eastAsia" w:ascii="Times New Roman" w:hAnsi="Times New Roman" w:cs="Times New Roman"/>
                <w:b/>
                <w:color w:val="000000" w:themeColor="text1"/>
                <w:sz w:val="22"/>
                <w:szCs w:val="22"/>
              </w:rPr>
              <w:t>EMS  □OHSMS持续的符合性及运行的有效性，以及与认证范围的持续相关性和适宜性及自我完善机制等。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6" w:hRule="atLeast"/>
        </w:trPr>
        <w:tc>
          <w:tcPr>
            <w:tcW w:w="10080" w:type="dxa"/>
          </w:tcPr>
          <w:p>
            <w:pPr>
              <w:spacing w:line="240" w:lineRule="exact"/>
              <w:rPr>
                <w:rFonts w:hint="eastAsia" w:ascii="Times New Roman" w:hAnsi="Times New Roman" w:cs="Times New Roman"/>
                <w:b/>
                <w:color w:val="000000" w:themeColor="text1"/>
                <w:sz w:val="22"/>
                <w:szCs w:val="22"/>
              </w:rPr>
            </w:pPr>
            <w:r>
              <w:rPr>
                <w:rFonts w:hint="eastAsia" w:ascii="Times New Roman" w:hAnsi="Times New Roman" w:cs="Times New Roman"/>
                <w:b/>
                <w:color w:val="000000" w:themeColor="text1"/>
                <w:sz w:val="22"/>
                <w:szCs w:val="22"/>
              </w:rPr>
              <w:t>2.对审核范围适宜性结论</w:t>
            </w:r>
          </w:p>
          <w:p>
            <w:pPr>
              <w:spacing w:line="240" w:lineRule="exact"/>
              <w:rPr>
                <w:rFonts w:hint="eastAsia" w:ascii="Times New Roman" w:hAnsi="Times New Roman" w:cs="Times New Roman"/>
                <w:b/>
                <w:color w:val="000000" w:themeColor="text1"/>
                <w:sz w:val="22"/>
                <w:szCs w:val="22"/>
              </w:rPr>
            </w:pPr>
            <w:r>
              <w:rPr>
                <w:rFonts w:hint="eastAsia" w:ascii="Times New Roman" w:hAnsi="Times New Roman" w:cs="Times New Roman"/>
                <w:b/>
                <w:color w:val="000000" w:themeColor="text1"/>
                <w:sz w:val="22"/>
                <w:szCs w:val="22"/>
              </w:rPr>
              <w:sym w:font="Wingdings 2" w:char="0052"/>
            </w:r>
            <w:r>
              <w:rPr>
                <w:rFonts w:hint="eastAsia" w:ascii="Times New Roman" w:hAnsi="Times New Roman" w:cs="Times New Roman"/>
                <w:b/>
                <w:color w:val="000000" w:themeColor="text1"/>
                <w:sz w:val="22"/>
                <w:szCs w:val="22"/>
              </w:rPr>
              <w:t>审核范围适宜，与申请范围一致</w:t>
            </w:r>
          </w:p>
          <w:p>
            <w:pPr>
              <w:spacing w:line="240" w:lineRule="exact"/>
              <w:rPr>
                <w:rFonts w:hint="eastAsia" w:ascii="Times New Roman" w:hAnsi="Times New Roman" w:cs="Times New Roman"/>
                <w:b/>
                <w:color w:val="000000" w:themeColor="text1"/>
                <w:sz w:val="22"/>
                <w:szCs w:val="22"/>
              </w:rPr>
            </w:pPr>
            <w:r>
              <w:rPr>
                <w:rFonts w:hint="eastAsia" w:ascii="Times New Roman" w:hAnsi="Times New Roman" w:cs="Times New Roman"/>
                <w:b/>
                <w:color w:val="000000" w:themeColor="text1"/>
                <w:sz w:val="22"/>
                <w:szCs w:val="22"/>
              </w:rPr>
              <w:t>□审核范围变更，</w:t>
            </w:r>
          </w:p>
          <w:p>
            <w:pPr>
              <w:spacing w:line="240" w:lineRule="exact"/>
              <w:rPr>
                <w:rFonts w:hint="eastAsia" w:ascii="Times New Roman" w:hAnsi="Times New Roman" w:cs="Times New Roman"/>
                <w:b/>
                <w:color w:val="000000" w:themeColor="text1"/>
                <w:sz w:val="22"/>
                <w:szCs w:val="22"/>
              </w:rPr>
            </w:pPr>
            <w:r>
              <w:rPr>
                <w:rFonts w:hint="eastAsia" w:ascii="Times New Roman" w:hAnsi="Times New Roman" w:cs="Times New Roman"/>
                <w:b/>
                <w:color w:val="000000" w:themeColor="text1"/>
                <w:sz w:val="22"/>
                <w:szCs w:val="22"/>
              </w:rPr>
              <w:t>QMS:粉针剂、片剂（含中药提取）、硬胶囊剂、颗粒剂（含中药提取）、原料药的生产（资质范围内）</w:t>
            </w:r>
          </w:p>
          <w:p>
            <w:pPr>
              <w:spacing w:line="240" w:lineRule="exact"/>
              <w:rPr>
                <w:rFonts w:hint="eastAsia" w:ascii="Times New Roman" w:hAnsi="Times New Roman" w:cs="Times New Roman"/>
                <w:b/>
                <w:color w:val="000000" w:themeColor="text1"/>
                <w:sz w:val="22"/>
                <w:szCs w:val="22"/>
                <w:lang w:val="en-GB"/>
              </w:rPr>
            </w:pPr>
            <w:r>
              <w:rPr>
                <w:rFonts w:hint="eastAsia" w:ascii="Times New Roman" w:hAnsi="Times New Roman" w:cs="Times New Roman"/>
                <w:b/>
                <w:color w:val="000000" w:themeColor="text1"/>
                <w:sz w:val="22"/>
                <w:szCs w:val="22"/>
              </w:rPr>
              <w:t>EMS</w:t>
            </w:r>
            <w:r>
              <w:rPr>
                <w:rFonts w:hint="eastAsia" w:ascii="Times New Roman" w:hAnsi="Times New Roman" w:cs="Times New Roman"/>
                <w:b/>
                <w:color w:val="000000" w:themeColor="text1"/>
                <w:sz w:val="22"/>
                <w:szCs w:val="22"/>
                <w:lang w:val="en-GB"/>
              </w:rPr>
              <w:t>:</w:t>
            </w:r>
            <w:r>
              <w:rPr>
                <w:rFonts w:hint="eastAsia" w:ascii="Times New Roman" w:hAnsi="Times New Roman" w:cs="Times New Roman"/>
                <w:b/>
                <w:color w:val="000000" w:themeColor="text1"/>
                <w:sz w:val="22"/>
                <w:szCs w:val="22"/>
              </w:rPr>
              <w:t xml:space="preserve">粉针剂、片剂（含中药提取）、硬胶囊剂、颗粒剂（含中药提取）、原料药的生产（资质范围内）所涉及场所的相关环境管理活动 </w:t>
            </w:r>
          </w:p>
          <w:p>
            <w:pPr>
              <w:spacing w:line="240" w:lineRule="exact"/>
              <w:rPr>
                <w:rFonts w:hint="eastAsia" w:ascii="Times New Roman" w:hAnsi="Times New Roman" w:cs="Times New Roman"/>
                <w:b/>
                <w:color w:val="000000" w:themeColor="text1"/>
                <w:sz w:val="22"/>
                <w:szCs w:val="22"/>
              </w:rPr>
            </w:pPr>
            <w:r>
              <w:rPr>
                <w:rFonts w:hint="eastAsia" w:ascii="Times New Roman" w:hAnsi="Times New Roman" w:cs="Times New Roman"/>
                <w:b/>
                <w:color w:val="000000" w:themeColor="text1"/>
                <w:sz w:val="22"/>
                <w:szCs w:val="22"/>
              </w:rPr>
              <w:t>OHSMS</w:t>
            </w:r>
            <w:r>
              <w:rPr>
                <w:rFonts w:hint="eastAsia" w:ascii="Times New Roman" w:hAnsi="Times New Roman" w:cs="Times New Roman"/>
                <w:b/>
                <w:color w:val="000000" w:themeColor="text1"/>
                <w:sz w:val="22"/>
                <w:szCs w:val="22"/>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3"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10"/>
                <w:szCs w:val="21"/>
              </w:rPr>
              <w:sym w:font="Wingdings 2" w:char="0052"/>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sym w:font="Wingdings 2" w:char="0052"/>
            </w:r>
            <w:r>
              <w:rPr>
                <w:rFonts w:hint="eastAsia"/>
                <w:b/>
                <w:color w:val="000000" w:themeColor="text1"/>
                <w:szCs w:val="21"/>
              </w:rPr>
              <w:t xml:space="preserve">QMS  </w:t>
            </w:r>
            <w:r>
              <w:rPr>
                <w:rFonts w:hint="eastAsia"/>
                <w:b/>
                <w:color w:val="000000" w:themeColor="text1"/>
                <w:spacing w:val="-10"/>
                <w:szCs w:val="21"/>
              </w:rPr>
              <w:sym w:font="Wingdings 2" w:char="0052"/>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bl>
    <w:p>
      <w:pPr>
        <w:pStyle w:val="8"/>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一般不符合报告在天/严重不符合在天针对不符合原因制定并实施纠正措施。验证方式见不符合项报告。</w:t>
      </w:r>
    </w:p>
    <w:p>
      <w:pPr>
        <w:spacing w:before="156" w:beforeLines="50" w:after="156" w:afterLines="50"/>
        <w:ind w:left="1" w:leftChars="-405" w:hanging="851" w:hangingChars="326"/>
        <w:rPr>
          <w:b/>
          <w:color w:val="000000" w:themeColor="text1"/>
          <w:sz w:val="16"/>
          <w:szCs w:val="16"/>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r>
        <w:rPr>
          <w:rFonts w:hint="eastAsia"/>
          <w:b/>
          <w:color w:val="000000" w:themeColor="text1"/>
          <w:sz w:val="26"/>
          <w:szCs w:val="26"/>
          <w:lang w:val="en-US" w:eastAsia="zh-CN"/>
        </w:rPr>
        <w:t>无</w:t>
      </w:r>
    </w:p>
    <w:p>
      <w:pPr>
        <w:snapToGrid w:val="0"/>
        <w:rPr>
          <w:b/>
          <w:bCs/>
          <w:color w:val="000000" w:themeColor="text1"/>
          <w:szCs w:val="28"/>
          <w:u w:val="single"/>
        </w:rPr>
      </w:pPr>
    </w:p>
    <w:p>
      <w:pPr>
        <w:snapToGrid w:val="0"/>
        <w:spacing w:after="156" w:afterLines="50" w:line="360" w:lineRule="auto"/>
        <w:ind w:left="-195" w:leftChars="-405" w:hanging="655" w:hangingChars="326"/>
        <w:rPr>
          <w:b/>
          <w:color w:val="000000" w:themeColor="text1"/>
          <w:sz w:val="16"/>
          <w:szCs w:val="16"/>
        </w:rPr>
      </w:pPr>
      <w:r>
        <w:rPr>
          <w:rFonts w:hint="eastAsia" w:ascii="宋体" w:hAnsi="宋体"/>
          <w:b/>
          <w:kern w:val="0"/>
          <w:sz w:val="20"/>
          <w:szCs w:val="20"/>
        </w:rPr>
        <w:drawing>
          <wp:anchor distT="0" distB="0" distL="114300" distR="114300" simplePos="0" relativeHeight="251662336" behindDoc="0" locked="0" layoutInCell="1" allowOverlap="1">
            <wp:simplePos x="0" y="0"/>
            <wp:positionH relativeFrom="column">
              <wp:posOffset>1628140</wp:posOffset>
            </wp:positionH>
            <wp:positionV relativeFrom="paragraph">
              <wp:posOffset>400050</wp:posOffset>
            </wp:positionV>
            <wp:extent cx="425450" cy="300990"/>
            <wp:effectExtent l="0" t="0" r="12700" b="3810"/>
            <wp:wrapSquare wrapText="bothSides"/>
            <wp:docPr id="3" name="图片 3" descr="李林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李林签名"/>
                    <pic:cNvPicPr>
                      <a:picLocks noChangeAspect="1"/>
                    </pic:cNvPicPr>
                  </pic:nvPicPr>
                  <pic:blipFill>
                    <a:blip r:embed="rId6"/>
                    <a:stretch>
                      <a:fillRect/>
                    </a:stretch>
                  </pic:blipFill>
                  <pic:spPr>
                    <a:xfrm>
                      <a:off x="0" y="0"/>
                      <a:ext cx="425450" cy="300990"/>
                    </a:xfrm>
                    <a:prstGeom prst="rect">
                      <a:avLst/>
                    </a:prstGeom>
                    <a:noFill/>
                    <a:ln>
                      <a:noFill/>
                    </a:ln>
                  </pic:spPr>
                </pic:pic>
              </a:graphicData>
            </a:graphic>
          </wp:anchor>
        </w:drawing>
      </w:r>
      <w:r>
        <w:rPr>
          <w:rFonts w:hint="eastAsia"/>
          <w:b/>
          <w:color w:val="000000" w:themeColor="text1"/>
          <w:sz w:val="26"/>
          <w:szCs w:val="26"/>
        </w:rPr>
        <w:t>十四、审核组签字</w:t>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审核组组长（签名）：</w:t>
      </w:r>
    </w:p>
    <w:p>
      <w:pPr>
        <w:snapToGrid w:val="0"/>
        <w:spacing w:before="156" w:beforeLines="50" w:line="360" w:lineRule="auto"/>
        <w:ind w:firstLine="552" w:firstLineChars="250"/>
        <w:rPr>
          <w:b/>
          <w:color w:val="000000" w:themeColor="text1"/>
        </w:rPr>
      </w:pPr>
      <w:r>
        <w:rPr>
          <w:rFonts w:hint="eastAsia"/>
          <w:b/>
          <w:sz w:val="22"/>
          <w:szCs w:val="22"/>
        </w:rPr>
        <w:drawing>
          <wp:anchor distT="0" distB="0" distL="114300" distR="114300" simplePos="0" relativeHeight="251664384" behindDoc="0" locked="0" layoutInCell="1" allowOverlap="1">
            <wp:simplePos x="0" y="0"/>
            <wp:positionH relativeFrom="column">
              <wp:posOffset>2421890</wp:posOffset>
            </wp:positionH>
            <wp:positionV relativeFrom="paragraph">
              <wp:posOffset>220345</wp:posOffset>
            </wp:positionV>
            <wp:extent cx="502920" cy="255905"/>
            <wp:effectExtent l="0" t="0" r="11430" b="10795"/>
            <wp:wrapSquare wrapText="bothSides"/>
            <wp:docPr id="51" name="图片 51" descr="16214023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descr="1621402346(1)"/>
                    <pic:cNvPicPr>
                      <a:picLocks noChangeAspect="1"/>
                    </pic:cNvPicPr>
                  </pic:nvPicPr>
                  <pic:blipFill>
                    <a:blip r:embed="rId7"/>
                    <a:stretch>
                      <a:fillRect/>
                    </a:stretch>
                  </pic:blipFill>
                  <pic:spPr>
                    <a:xfrm>
                      <a:off x="0" y="0"/>
                      <a:ext cx="502920" cy="255905"/>
                    </a:xfrm>
                    <a:prstGeom prst="rect">
                      <a:avLst/>
                    </a:prstGeom>
                  </pic:spPr>
                </pic:pic>
              </a:graphicData>
            </a:graphic>
          </wp:anchor>
        </w:drawing>
      </w:r>
      <w:r>
        <w:rPr>
          <w:rFonts w:hint="eastAsia"/>
        </w:rPr>
        <w:drawing>
          <wp:anchor distT="0" distB="0" distL="114300" distR="114300" simplePos="0" relativeHeight="251661312" behindDoc="0" locked="0" layoutInCell="1" allowOverlap="1">
            <wp:simplePos x="0" y="0"/>
            <wp:positionH relativeFrom="column">
              <wp:posOffset>1641475</wp:posOffset>
            </wp:positionH>
            <wp:positionV relativeFrom="paragraph">
              <wp:posOffset>207645</wp:posOffset>
            </wp:positionV>
            <wp:extent cx="544830" cy="248920"/>
            <wp:effectExtent l="0" t="0" r="7620" b="17780"/>
            <wp:wrapNone/>
            <wp:docPr id="8" name="图片 8" descr="87ac17c702f787ebcb7b5ad453f9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87ac17c702f787ebcb7b5ad453f94b0"/>
                    <pic:cNvPicPr>
                      <a:picLocks noChangeAspect="1"/>
                    </pic:cNvPicPr>
                  </pic:nvPicPr>
                  <pic:blipFill>
                    <a:blip r:embed="rId8" cstate="print"/>
                    <a:stretch>
                      <a:fillRect/>
                    </a:stretch>
                  </pic:blipFill>
                  <pic:spPr>
                    <a:xfrm>
                      <a:off x="0" y="0"/>
                      <a:ext cx="544830" cy="248920"/>
                    </a:xfrm>
                    <a:prstGeom prst="rect">
                      <a:avLst/>
                    </a:prstGeom>
                  </pic:spPr>
                </pic:pic>
              </a:graphicData>
            </a:graphic>
          </wp:anchor>
        </w:drawing>
      </w:r>
    </w:p>
    <w:p>
      <w:pPr>
        <w:snapToGrid w:val="0"/>
        <w:spacing w:after="156" w:afterLines="50" w:line="360" w:lineRule="auto"/>
        <w:ind w:left="-10" w:leftChars="-32" w:hanging="57" w:hangingChars="26"/>
        <w:rPr>
          <w:b/>
          <w:color w:val="000000" w:themeColor="text1"/>
          <w:sz w:val="26"/>
          <w:szCs w:val="26"/>
        </w:rPr>
      </w:pPr>
      <w:r>
        <w:rPr>
          <w:rFonts w:hint="eastAsia"/>
          <w:b/>
          <w:sz w:val="22"/>
          <w:szCs w:val="22"/>
        </w:rPr>
        <w:drawing>
          <wp:anchor distT="0" distB="0" distL="114300" distR="114300" simplePos="0" relativeHeight="251665408" behindDoc="0" locked="0" layoutInCell="1" allowOverlap="1">
            <wp:simplePos x="0" y="0"/>
            <wp:positionH relativeFrom="column">
              <wp:posOffset>3030220</wp:posOffset>
            </wp:positionH>
            <wp:positionV relativeFrom="paragraph">
              <wp:posOffset>1270</wp:posOffset>
            </wp:positionV>
            <wp:extent cx="612775" cy="269875"/>
            <wp:effectExtent l="0" t="0" r="15875" b="15875"/>
            <wp:wrapSquare wrapText="bothSides"/>
            <wp:docPr id="48" name="图片 48" descr="16213216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descr="1621321692(1)"/>
                    <pic:cNvPicPr>
                      <a:picLocks noChangeAspect="1"/>
                    </pic:cNvPicPr>
                  </pic:nvPicPr>
                  <pic:blipFill>
                    <a:blip r:embed="rId9"/>
                    <a:stretch>
                      <a:fillRect/>
                    </a:stretch>
                  </pic:blipFill>
                  <pic:spPr>
                    <a:xfrm>
                      <a:off x="0" y="0"/>
                      <a:ext cx="612775" cy="269875"/>
                    </a:xfrm>
                    <a:prstGeom prst="rect">
                      <a:avLst/>
                    </a:prstGeom>
                  </pic:spPr>
                </pic:pic>
              </a:graphicData>
            </a:graphic>
          </wp:anchor>
        </w:drawing>
      </w:r>
      <w:r>
        <w:rPr>
          <w:rFonts w:hint="eastAsia"/>
          <w:b/>
          <w:color w:val="000000" w:themeColor="text1"/>
          <w:sz w:val="26"/>
          <w:szCs w:val="26"/>
        </w:rPr>
        <w:t>审核组组员（签名）：</w:t>
      </w:r>
    </w:p>
    <w:p>
      <w:pPr>
        <w:snapToGrid w:val="0"/>
        <w:spacing w:line="360" w:lineRule="auto"/>
        <w:ind w:firstLine="4132" w:firstLineChars="1960"/>
        <w:rPr>
          <w:rFonts w:hint="default"/>
          <w:b/>
          <w:color w:val="000000" w:themeColor="text1"/>
          <w:sz w:val="16"/>
          <w:szCs w:val="16"/>
          <w:lang w:val="en-US"/>
        </w:rPr>
      </w:pPr>
      <w:r>
        <w:rPr>
          <w:rFonts w:hint="eastAsia"/>
          <w:b/>
          <w:color w:val="000000" w:themeColor="text1"/>
        </w:rPr>
        <w:t>日期</w:t>
      </w:r>
      <w:r>
        <w:rPr>
          <w:rFonts w:hint="eastAsia"/>
          <w:b/>
          <w:color w:val="000000" w:themeColor="text1"/>
          <w:lang w:eastAsia="zh-CN"/>
        </w:rPr>
        <w:t>：</w:t>
      </w:r>
      <w:r>
        <w:rPr>
          <w:rFonts w:hint="eastAsia"/>
          <w:b/>
          <w:color w:val="000000" w:themeColor="text1"/>
          <w:lang w:val="en-US" w:eastAsia="zh-CN"/>
        </w:rPr>
        <w:t>2021年05月20日</w:t>
      </w:r>
    </w:p>
    <w:p>
      <w:pPr>
        <w:numPr>
          <w:ilvl w:val="0"/>
          <w:numId w:val="5"/>
        </w:numPr>
        <w:spacing w:before="156" w:beforeLines="50" w:after="156" w:afterLines="50"/>
        <w:ind w:left="1" w:leftChars="-405" w:hanging="851" w:hangingChars="326"/>
        <w:rPr>
          <w:rFonts w:hint="eastAsia"/>
          <w:b/>
          <w:color w:val="000000" w:themeColor="text1"/>
          <w:sz w:val="26"/>
          <w:szCs w:val="26"/>
        </w:rPr>
      </w:pPr>
      <w:r>
        <w:rPr>
          <w:rFonts w:hint="eastAsia"/>
          <w:b/>
          <w:color w:val="000000" w:themeColor="text1"/>
          <w:sz w:val="26"/>
          <w:szCs w:val="26"/>
        </w:rPr>
        <w:t>纠正措施验证结论：</w:t>
      </w:r>
    </w:p>
    <w:p>
      <w:pPr>
        <w:numPr>
          <w:ilvl w:val="0"/>
          <w:numId w:val="0"/>
        </w:numPr>
        <w:spacing w:before="156" w:beforeLines="50" w:after="156" w:afterLines="50"/>
        <w:ind w:leftChars="-731" w:firstLine="1054" w:firstLineChars="500"/>
        <w:rPr>
          <w:rFonts w:hint="eastAsia" w:ascii="Times New Roman" w:hAnsi="Times New Roman" w:cs="Times New Roman"/>
          <w:b/>
          <w:bCs/>
          <w:color w:val="000000" w:themeColor="text1"/>
          <w:szCs w:val="21"/>
        </w:rPr>
      </w:pPr>
      <w:r>
        <w:rPr>
          <w:rFonts w:hint="eastAsia"/>
          <w:b/>
          <w:bCs/>
          <w:color w:val="000000" w:themeColor="text1"/>
          <w:szCs w:val="21"/>
        </w:rPr>
        <w:t xml:space="preserve">1.  </w:t>
      </w:r>
      <w:r>
        <w:rPr>
          <w:rFonts w:hint="eastAsia"/>
          <w:b/>
          <w:bCs/>
          <w:color w:val="000000" w:themeColor="text1"/>
          <w:szCs w:val="21"/>
          <w:lang w:val="en-US" w:eastAsia="zh-CN"/>
        </w:rPr>
        <w:t xml:space="preserve"> </w:t>
      </w:r>
      <w:r>
        <w:rPr>
          <w:rFonts w:hint="eastAsia" w:ascii="Times New Roman" w:hAnsi="Times New Roman" w:cs="Times New Roman"/>
          <w:b/>
          <w:bCs/>
          <w:color w:val="000000" w:themeColor="text1"/>
          <w:szCs w:val="21"/>
        </w:rPr>
        <w:t>审核中发现的</w:t>
      </w:r>
      <w:r>
        <w:rPr>
          <w:rFonts w:hint="eastAsia" w:ascii="Times New Roman" w:hAnsi="Times New Roman" w:cs="Times New Roman"/>
          <w:b/>
          <w:bCs/>
          <w:color w:val="000000" w:themeColor="text1"/>
          <w:szCs w:val="21"/>
        </w:rPr>
        <w:sym w:font="Wingdings 2" w:char="0052"/>
      </w:r>
      <w:r>
        <w:rPr>
          <w:rFonts w:hint="eastAsia" w:ascii="Times New Roman" w:hAnsi="Times New Roman" w:cs="Times New Roman"/>
          <w:b/>
          <w:bCs/>
          <w:color w:val="000000" w:themeColor="text1"/>
          <w:szCs w:val="21"/>
        </w:rPr>
        <w:t xml:space="preserve">QMS( </w:t>
      </w:r>
      <w:r>
        <w:rPr>
          <w:rFonts w:hint="eastAsia" w:cs="Times New Roman"/>
          <w:b/>
          <w:bCs/>
          <w:color w:val="000000" w:themeColor="text1"/>
          <w:szCs w:val="21"/>
          <w:lang w:val="en-US" w:eastAsia="zh-CN"/>
        </w:rPr>
        <w:t>2</w:t>
      </w:r>
      <w:r>
        <w:rPr>
          <w:rFonts w:hint="eastAsia" w:ascii="Times New Roman" w:hAnsi="Times New Roman" w:cs="Times New Roman"/>
          <w:b/>
          <w:bCs/>
          <w:color w:val="000000" w:themeColor="text1"/>
          <w:szCs w:val="21"/>
        </w:rPr>
        <w:t xml:space="preserve"> )个一般不符合，(  )个严重不符合，</w:t>
      </w:r>
      <w:r>
        <w:rPr>
          <w:rFonts w:hint="eastAsia" w:ascii="Times New Roman" w:hAnsi="Times New Roman" w:cs="Times New Roman"/>
          <w:b/>
          <w:bCs/>
          <w:color w:val="000000" w:themeColor="text1"/>
          <w:szCs w:val="21"/>
        </w:rPr>
        <w:sym w:font="Wingdings 2" w:char="0052"/>
      </w:r>
      <w:r>
        <w:rPr>
          <w:rFonts w:hint="eastAsia" w:ascii="Times New Roman" w:hAnsi="Times New Roman" w:cs="Times New Roman"/>
          <w:b/>
          <w:bCs/>
          <w:color w:val="000000" w:themeColor="text1"/>
          <w:szCs w:val="21"/>
        </w:rPr>
        <w:t>验证合格□仍有问题</w:t>
      </w:r>
    </w:p>
    <w:p>
      <w:pPr>
        <w:spacing w:line="360" w:lineRule="auto"/>
        <w:rPr>
          <w:rFonts w:hint="eastAsia" w:ascii="Times New Roman" w:hAnsi="Times New Roman" w:cs="Times New Roman"/>
          <w:b/>
          <w:bCs/>
          <w:color w:val="000000" w:themeColor="text1"/>
          <w:szCs w:val="21"/>
        </w:rPr>
      </w:pPr>
      <w:r>
        <w:rPr>
          <w:rFonts w:hint="eastAsia" w:ascii="Times New Roman" w:hAnsi="Times New Roman" w:cs="Times New Roman"/>
          <w:b/>
          <w:bCs/>
          <w:color w:val="000000" w:themeColor="text1"/>
          <w:szCs w:val="21"/>
        </w:rPr>
        <w:t>审核中发现的□EMS(   )个一般不符合，(  )个严重不符合，□验证合格□仍有问题</w:t>
      </w:r>
    </w:p>
    <w:p>
      <w:pPr>
        <w:spacing w:line="360" w:lineRule="auto"/>
        <w:rPr>
          <w:rFonts w:hint="eastAsia" w:ascii="Times New Roman" w:hAnsi="Times New Roman" w:cs="Times New Roman"/>
          <w:b/>
          <w:bCs/>
          <w:color w:val="000000" w:themeColor="text1"/>
          <w:szCs w:val="21"/>
        </w:rPr>
      </w:pPr>
      <w:r>
        <w:rPr>
          <w:rFonts w:hint="eastAsia" w:ascii="Times New Roman" w:hAnsi="Times New Roman" w:cs="Times New Roman"/>
          <w:b/>
          <w:bCs/>
          <w:color w:val="000000" w:themeColor="text1"/>
          <w:szCs w:val="21"/>
        </w:rPr>
        <w:t>审核中发现的□OHSMS(   )个一般不符合，(  )个严重不符合，□验证合格□仍有问题</w:t>
      </w:r>
    </w:p>
    <w:p>
      <w:pPr>
        <w:spacing w:line="360" w:lineRule="auto"/>
        <w:rPr>
          <w:rFonts w:hint="eastAsia" w:ascii="Times New Roman" w:hAnsi="Times New Roman" w:cs="Times New Roman"/>
          <w:b/>
          <w:bCs/>
          <w:color w:val="000000" w:themeColor="text1"/>
          <w:szCs w:val="21"/>
        </w:rPr>
      </w:pPr>
      <w:r>
        <w:rPr>
          <w:rFonts w:hint="eastAsia" w:ascii="Times New Roman" w:hAnsi="Times New Roman" w:cs="Times New Roman"/>
          <w:b/>
          <w:bCs/>
          <w:color w:val="000000" w:themeColor="text1"/>
          <w:szCs w:val="21"/>
        </w:rPr>
        <w:t>存在问题说明及意见：</w:t>
      </w:r>
    </w:p>
    <w:p>
      <w:pPr>
        <w:spacing w:after="156" w:afterLines="50"/>
        <w:ind w:firstLine="422" w:firstLineChars="200"/>
        <w:rPr>
          <w:b/>
          <w:color w:val="000000" w:themeColor="text1"/>
          <w:szCs w:val="21"/>
        </w:rPr>
      </w:pPr>
    </w:p>
    <w:p>
      <w:pPr>
        <w:spacing w:after="156" w:afterLines="50"/>
        <w:ind w:left="0"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rPr>
        <w:sym w:font="Wingdings 2" w:char="0052"/>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b/>
          <w:color w:val="000000" w:themeColor="text1"/>
          <w:szCs w:val="21"/>
        </w:rPr>
      </w:pPr>
      <w:r>
        <w:rPr>
          <w:rFonts w:hint="eastAsia" w:ascii="宋体" w:hAnsi="宋体"/>
          <w:b/>
          <w:kern w:val="0"/>
          <w:sz w:val="20"/>
          <w:szCs w:val="20"/>
        </w:rPr>
        <w:drawing>
          <wp:anchor distT="0" distB="0" distL="114300" distR="114300" simplePos="0" relativeHeight="251663360" behindDoc="0" locked="0" layoutInCell="1" allowOverlap="1">
            <wp:simplePos x="0" y="0"/>
            <wp:positionH relativeFrom="column">
              <wp:posOffset>803910</wp:posOffset>
            </wp:positionH>
            <wp:positionV relativeFrom="paragraph">
              <wp:posOffset>92075</wp:posOffset>
            </wp:positionV>
            <wp:extent cx="425450" cy="300990"/>
            <wp:effectExtent l="0" t="0" r="12700" b="3810"/>
            <wp:wrapSquare wrapText="bothSides"/>
            <wp:docPr id="4" name="图片 4" descr="李林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李林签名"/>
                    <pic:cNvPicPr>
                      <a:picLocks noChangeAspect="1"/>
                    </pic:cNvPicPr>
                  </pic:nvPicPr>
                  <pic:blipFill>
                    <a:blip r:embed="rId6"/>
                    <a:stretch>
                      <a:fillRect/>
                    </a:stretch>
                  </pic:blipFill>
                  <pic:spPr>
                    <a:xfrm>
                      <a:off x="0" y="0"/>
                      <a:ext cx="425450" cy="300990"/>
                    </a:xfrm>
                    <a:prstGeom prst="rect">
                      <a:avLst/>
                    </a:prstGeom>
                    <a:noFill/>
                    <a:ln>
                      <a:noFill/>
                    </a:ln>
                  </pic:spPr>
                </pic:pic>
              </a:graphicData>
            </a:graphic>
          </wp:anchor>
        </w:drawing>
      </w:r>
      <w:r>
        <w:rPr>
          <w:rFonts w:hint="eastAsia"/>
          <w:b/>
          <w:color w:val="000000" w:themeColor="text1"/>
          <w:szCs w:val="21"/>
        </w:rPr>
        <w:t xml:space="preserve">组长签字:                              </w:t>
      </w:r>
    </w:p>
    <w:p>
      <w:pPr>
        <w:numPr>
          <w:ilvl w:val="0"/>
          <w:numId w:val="6"/>
        </w:numPr>
        <w:spacing w:before="156" w:beforeLines="50" w:after="156" w:afterLines="50"/>
        <w:ind w:left="1" w:leftChars="-405" w:hanging="851" w:hangingChars="326"/>
        <w:rPr>
          <w:rFonts w:hint="eastAsia"/>
          <w:b/>
          <w:color w:val="000000" w:themeColor="text1"/>
          <w:sz w:val="26"/>
          <w:szCs w:val="26"/>
        </w:rPr>
      </w:pPr>
      <w:r>
        <w:rPr>
          <w:rFonts w:hint="eastAsia"/>
          <w:b/>
          <w:color w:val="000000" w:themeColor="text1"/>
          <w:sz w:val="26"/>
          <w:szCs w:val="26"/>
        </w:rPr>
        <w:t>与末次会议结论不同处的说明和其他说明：(技术委员会填写)</w:t>
      </w:r>
    </w:p>
    <w:p>
      <w:pPr>
        <w:pStyle w:val="3"/>
        <w:widowControl w:val="0"/>
        <w:numPr>
          <w:ilvl w:val="0"/>
          <w:numId w:val="0"/>
        </w:numPr>
        <w:spacing w:after="120"/>
        <w:jc w:val="both"/>
      </w:pPr>
    </w:p>
    <w:p>
      <w:pPr>
        <w:pStyle w:val="4"/>
      </w:pP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十七、审核报告的发放范围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b/>
          <w:color w:val="000000" w:themeColor="text1"/>
          <w:sz w:val="26"/>
          <w:szCs w:val="26"/>
        </w:rPr>
        <w:t>十八</w:t>
      </w:r>
      <w:r>
        <w:rPr>
          <w:rFonts w:hint="eastAsia" w:ascii="宋体" w:hAnsi="宋体"/>
          <w:b/>
          <w:color w:val="000000" w:themeColor="text1"/>
          <w:sz w:val="26"/>
          <w:szCs w:val="26"/>
        </w:rPr>
        <w:t>、附件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hint="eastAsia"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pStyle w:val="2"/>
      </w:pP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bookmarkStart w:id="18" w:name="_Hlk8555230"/>
    <w:r>
      <w:pict>
        <v:shape id="_x0000_s2049" o:spid="_x0000_s2049" o:spt="202" type="#_x0000_t202" style="position:absolute;left:0pt;margin-left:249.35pt;margin-top:5.25pt;height:20.2pt;width:164.1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8"/>
        <w:rFonts w:hint="default"/>
      </w:rPr>
      <w:t>北京国标联合认证有限公司</w:t>
    </w:r>
    <w:r>
      <w:rPr>
        <w:rStyle w:val="18"/>
        <w:rFonts w:hint="default"/>
      </w:rPr>
      <w:tab/>
    </w:r>
    <w:r>
      <w:rPr>
        <w:rStyle w:val="18"/>
        <w:rFonts w:hint="default"/>
      </w:rPr>
      <w:tab/>
    </w:r>
    <w:r>
      <w:rPr>
        <w:rStyle w:val="18"/>
        <w:rFonts w:hint="default"/>
      </w:rPr>
      <w:tab/>
    </w:r>
    <w:bookmarkEnd w:id="18"/>
  </w:p>
  <w:p>
    <w:pPr>
      <w:pStyle w:val="7"/>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7CE44F"/>
    <w:multiLevelType w:val="singleLevel"/>
    <w:tmpl w:val="E17CE44F"/>
    <w:lvl w:ilvl="0" w:tentative="0">
      <w:start w:val="8"/>
      <w:numFmt w:val="decimal"/>
      <w:suff w:val="space"/>
      <w:lvlText w:val="%1."/>
      <w:lvlJc w:val="left"/>
    </w:lvl>
  </w:abstractNum>
  <w:abstractNum w:abstractNumId="1">
    <w:nsid w:val="EF2D8FED"/>
    <w:multiLevelType w:val="singleLevel"/>
    <w:tmpl w:val="EF2D8FED"/>
    <w:lvl w:ilvl="0" w:tentative="0">
      <w:start w:val="16"/>
      <w:numFmt w:val="chineseCounting"/>
      <w:suff w:val="nothing"/>
      <w:lvlText w:val="%1、"/>
      <w:lvlJc w:val="left"/>
      <w:rPr>
        <w:rFonts w:hint="eastAsia"/>
      </w:rPr>
    </w:lvl>
  </w:abstractNum>
  <w:abstractNum w:abstractNumId="2">
    <w:nsid w:val="0C52291D"/>
    <w:multiLevelType w:val="singleLevel"/>
    <w:tmpl w:val="0C52291D"/>
    <w:lvl w:ilvl="0" w:tentative="0">
      <w:start w:val="3"/>
      <w:numFmt w:val="decimal"/>
      <w:suff w:val="space"/>
      <w:lvlText w:val="%1."/>
      <w:lvlJc w:val="left"/>
    </w:lvl>
  </w:abstractNum>
  <w:abstractNum w:abstractNumId="3">
    <w:nsid w:val="372361FB"/>
    <w:multiLevelType w:val="singleLevel"/>
    <w:tmpl w:val="372361FB"/>
    <w:lvl w:ilvl="0" w:tentative="0">
      <w:start w:val="15"/>
      <w:numFmt w:val="chineseCounting"/>
      <w:suff w:val="nothing"/>
      <w:lvlText w:val="%1、"/>
      <w:lvlJc w:val="left"/>
      <w:rPr>
        <w:rFonts w:hint="eastAsia"/>
      </w:rPr>
    </w:lvl>
  </w:abstractNum>
  <w:abstractNum w:abstractNumId="4">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5"/>
  </w:num>
  <w:num w:numId="3">
    <w:abstractNumId w:val="0"/>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0C70EFE"/>
    <w:rsid w:val="00CA60C8"/>
    <w:rsid w:val="01343B33"/>
    <w:rsid w:val="01456821"/>
    <w:rsid w:val="02002ED1"/>
    <w:rsid w:val="02375AD2"/>
    <w:rsid w:val="028333A3"/>
    <w:rsid w:val="02E40645"/>
    <w:rsid w:val="03CD091E"/>
    <w:rsid w:val="04C224A9"/>
    <w:rsid w:val="05001746"/>
    <w:rsid w:val="05137782"/>
    <w:rsid w:val="06111FE4"/>
    <w:rsid w:val="0821060C"/>
    <w:rsid w:val="086C7A37"/>
    <w:rsid w:val="0A4462E2"/>
    <w:rsid w:val="0B0677EF"/>
    <w:rsid w:val="0BD34DF0"/>
    <w:rsid w:val="0CF730E8"/>
    <w:rsid w:val="0E2B2709"/>
    <w:rsid w:val="0E560583"/>
    <w:rsid w:val="0ED2190F"/>
    <w:rsid w:val="0F172DB4"/>
    <w:rsid w:val="0F662699"/>
    <w:rsid w:val="114472DD"/>
    <w:rsid w:val="11D52BBD"/>
    <w:rsid w:val="11D7109D"/>
    <w:rsid w:val="12CA23C6"/>
    <w:rsid w:val="13EF4A4F"/>
    <w:rsid w:val="142C46D6"/>
    <w:rsid w:val="143821B6"/>
    <w:rsid w:val="1479449E"/>
    <w:rsid w:val="14A43D50"/>
    <w:rsid w:val="14FC1FE7"/>
    <w:rsid w:val="150507F1"/>
    <w:rsid w:val="164513AF"/>
    <w:rsid w:val="1657072C"/>
    <w:rsid w:val="16D23101"/>
    <w:rsid w:val="17B10B80"/>
    <w:rsid w:val="181F7F88"/>
    <w:rsid w:val="185A2AB9"/>
    <w:rsid w:val="189B7859"/>
    <w:rsid w:val="19B06F08"/>
    <w:rsid w:val="19BC107F"/>
    <w:rsid w:val="1AD3098E"/>
    <w:rsid w:val="1AD85118"/>
    <w:rsid w:val="1B2E35F4"/>
    <w:rsid w:val="1C956E79"/>
    <w:rsid w:val="1CA8754B"/>
    <w:rsid w:val="1CD04A5B"/>
    <w:rsid w:val="1F1B32BC"/>
    <w:rsid w:val="1F4738EE"/>
    <w:rsid w:val="207430E6"/>
    <w:rsid w:val="20826954"/>
    <w:rsid w:val="20F84604"/>
    <w:rsid w:val="218A39A4"/>
    <w:rsid w:val="225C4CE2"/>
    <w:rsid w:val="23E147B8"/>
    <w:rsid w:val="24042040"/>
    <w:rsid w:val="25D345F8"/>
    <w:rsid w:val="261E7BF5"/>
    <w:rsid w:val="266D2356"/>
    <w:rsid w:val="27884213"/>
    <w:rsid w:val="281C4985"/>
    <w:rsid w:val="29940F02"/>
    <w:rsid w:val="29BA5438"/>
    <w:rsid w:val="2A290AB2"/>
    <w:rsid w:val="2A386E24"/>
    <w:rsid w:val="2B2B4C50"/>
    <w:rsid w:val="2CC030E1"/>
    <w:rsid w:val="2D6D7F42"/>
    <w:rsid w:val="2F236F7F"/>
    <w:rsid w:val="2F373C9E"/>
    <w:rsid w:val="2F8823A4"/>
    <w:rsid w:val="2F94333E"/>
    <w:rsid w:val="2FC97768"/>
    <w:rsid w:val="306476CC"/>
    <w:rsid w:val="311269A7"/>
    <w:rsid w:val="31AD0185"/>
    <w:rsid w:val="31E85A0F"/>
    <w:rsid w:val="32B4537C"/>
    <w:rsid w:val="33A23B94"/>
    <w:rsid w:val="350B0118"/>
    <w:rsid w:val="36A67894"/>
    <w:rsid w:val="371647E6"/>
    <w:rsid w:val="37C47471"/>
    <w:rsid w:val="3B5F3F61"/>
    <w:rsid w:val="3C7463FD"/>
    <w:rsid w:val="3C9E76F7"/>
    <w:rsid w:val="3DE95406"/>
    <w:rsid w:val="3E210207"/>
    <w:rsid w:val="40840DF7"/>
    <w:rsid w:val="4107776F"/>
    <w:rsid w:val="419E6C0F"/>
    <w:rsid w:val="42097247"/>
    <w:rsid w:val="43C6363C"/>
    <w:rsid w:val="43DD2F20"/>
    <w:rsid w:val="442E213B"/>
    <w:rsid w:val="45374E3D"/>
    <w:rsid w:val="454500D1"/>
    <w:rsid w:val="45C11FD0"/>
    <w:rsid w:val="45E85AEC"/>
    <w:rsid w:val="465B501E"/>
    <w:rsid w:val="4686208B"/>
    <w:rsid w:val="47D044A1"/>
    <w:rsid w:val="47E57F91"/>
    <w:rsid w:val="485C5AD2"/>
    <w:rsid w:val="4A0B13E3"/>
    <w:rsid w:val="4A1A3E65"/>
    <w:rsid w:val="4B1E02D7"/>
    <w:rsid w:val="4B3562BB"/>
    <w:rsid w:val="4B9A23C8"/>
    <w:rsid w:val="4BF430DA"/>
    <w:rsid w:val="4BF62B48"/>
    <w:rsid w:val="4D067706"/>
    <w:rsid w:val="4D2513A2"/>
    <w:rsid w:val="4E7B2A4A"/>
    <w:rsid w:val="4F7E1998"/>
    <w:rsid w:val="4FFD1680"/>
    <w:rsid w:val="5069351D"/>
    <w:rsid w:val="509E2879"/>
    <w:rsid w:val="50BC204F"/>
    <w:rsid w:val="510F0CE4"/>
    <w:rsid w:val="51A80D29"/>
    <w:rsid w:val="52015183"/>
    <w:rsid w:val="530C04B6"/>
    <w:rsid w:val="54561698"/>
    <w:rsid w:val="54D26032"/>
    <w:rsid w:val="57E40C1A"/>
    <w:rsid w:val="591736CE"/>
    <w:rsid w:val="59337B03"/>
    <w:rsid w:val="5C7A6C4E"/>
    <w:rsid w:val="5D0F72D7"/>
    <w:rsid w:val="5D35195D"/>
    <w:rsid w:val="5DF13B46"/>
    <w:rsid w:val="5E766908"/>
    <w:rsid w:val="5E7D69B5"/>
    <w:rsid w:val="5F983FC1"/>
    <w:rsid w:val="60A750D1"/>
    <w:rsid w:val="611A3042"/>
    <w:rsid w:val="61BE63A5"/>
    <w:rsid w:val="629222EA"/>
    <w:rsid w:val="63187842"/>
    <w:rsid w:val="63241633"/>
    <w:rsid w:val="6334737B"/>
    <w:rsid w:val="639A03E9"/>
    <w:rsid w:val="6403498F"/>
    <w:rsid w:val="642846D6"/>
    <w:rsid w:val="64732EE0"/>
    <w:rsid w:val="6548683E"/>
    <w:rsid w:val="65C14324"/>
    <w:rsid w:val="65DD4A55"/>
    <w:rsid w:val="65FF680E"/>
    <w:rsid w:val="672E2C07"/>
    <w:rsid w:val="68714BDF"/>
    <w:rsid w:val="68C45AED"/>
    <w:rsid w:val="68D25325"/>
    <w:rsid w:val="6AC12EA6"/>
    <w:rsid w:val="6BC64945"/>
    <w:rsid w:val="6D5265CB"/>
    <w:rsid w:val="6DDC39A9"/>
    <w:rsid w:val="6DEF13B1"/>
    <w:rsid w:val="6F4C2EA2"/>
    <w:rsid w:val="6F6D616E"/>
    <w:rsid w:val="70936920"/>
    <w:rsid w:val="70EE5CAC"/>
    <w:rsid w:val="71F05C58"/>
    <w:rsid w:val="741A0C11"/>
    <w:rsid w:val="74BF3CAA"/>
    <w:rsid w:val="767E3662"/>
    <w:rsid w:val="770C57DC"/>
    <w:rsid w:val="77BC55D2"/>
    <w:rsid w:val="77C16486"/>
    <w:rsid w:val="786E3C3C"/>
    <w:rsid w:val="78AA6444"/>
    <w:rsid w:val="78E30673"/>
    <w:rsid w:val="7A717CD1"/>
    <w:rsid w:val="7B8C5D6C"/>
    <w:rsid w:val="7C4B490B"/>
    <w:rsid w:val="7C993302"/>
    <w:rsid w:val="7DE31F06"/>
    <w:rsid w:val="7E0E4448"/>
    <w:rsid w:val="7F58203D"/>
    <w:rsid w:val="7FB1491A"/>
    <w:rsid w:val="7FCB2B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paragraph" w:styleId="3">
    <w:name w:val="Body Text"/>
    <w:basedOn w:val="1"/>
    <w:next w:val="4"/>
    <w:qFormat/>
    <w:uiPriority w:val="0"/>
    <w:pPr>
      <w:spacing w:after="120"/>
    </w:pPr>
  </w:style>
  <w:style w:type="paragraph" w:styleId="4">
    <w:name w:val="Body Text 2"/>
    <w:basedOn w:val="1"/>
    <w:qFormat/>
    <w:uiPriority w:val="0"/>
    <w:pPr>
      <w:spacing w:after="120" w:afterLines="0" w:afterAutospacing="0" w:line="480" w:lineRule="auto"/>
    </w:pPr>
  </w:style>
  <w:style w:type="paragraph" w:styleId="5">
    <w:name w:val="Balloon Text"/>
    <w:basedOn w:val="1"/>
    <w:link w:val="16"/>
    <w:semiHidden/>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semiHidden/>
    <w:unhideWhenUsed/>
    <w:qFormat/>
    <w:uiPriority w:val="99"/>
    <w:rPr>
      <w:color w:val="0000FF"/>
      <w:u w:val="single"/>
    </w:rPr>
  </w:style>
  <w:style w:type="paragraph" w:styleId="13">
    <w:name w:val="List Paragraph"/>
    <w:basedOn w:val="1"/>
    <w:qFormat/>
    <w:uiPriority w:val="34"/>
    <w:pPr>
      <w:ind w:firstLine="420" w:firstLineChars="200"/>
    </w:pPr>
  </w:style>
  <w:style w:type="character" w:customStyle="1" w:styleId="14">
    <w:name w:val="页眉 Char1"/>
    <w:basedOn w:val="11"/>
    <w:link w:val="7"/>
    <w:qFormat/>
    <w:uiPriority w:val="99"/>
    <w:rPr>
      <w:rFonts w:ascii="Times New Roman" w:hAnsi="Times New Roman" w:eastAsia="宋体" w:cs="Times New Roman"/>
      <w:sz w:val="18"/>
      <w:szCs w:val="18"/>
    </w:rPr>
  </w:style>
  <w:style w:type="character" w:customStyle="1" w:styleId="15">
    <w:name w:val="页脚 Char"/>
    <w:basedOn w:val="11"/>
    <w:link w:val="6"/>
    <w:uiPriority w:val="99"/>
    <w:rPr>
      <w:rFonts w:ascii="Times New Roman" w:hAnsi="Times New Roman" w:eastAsia="宋体" w:cs="Times New Roman"/>
      <w:sz w:val="18"/>
      <w:szCs w:val="18"/>
    </w:rPr>
  </w:style>
  <w:style w:type="character" w:customStyle="1" w:styleId="16">
    <w:name w:val="批注框文本 Char"/>
    <w:basedOn w:val="11"/>
    <w:link w:val="5"/>
    <w:semiHidden/>
    <w:qFormat/>
    <w:uiPriority w:val="99"/>
    <w:rPr>
      <w:rFonts w:ascii="Times New Roman" w:hAnsi="Times New Roman" w:eastAsia="宋体" w:cs="Times New Roman"/>
      <w:sz w:val="18"/>
      <w:szCs w:val="18"/>
    </w:rPr>
  </w:style>
  <w:style w:type="character" w:customStyle="1" w:styleId="17">
    <w:name w:val="页眉 Char"/>
    <w:qFormat/>
    <w:uiPriority w:val="0"/>
    <w:rPr>
      <w:kern w:val="2"/>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756</Words>
  <Characters>4311</Characters>
  <Lines>35</Lines>
  <Paragraphs>10</Paragraphs>
  <TotalTime>26</TotalTime>
  <ScaleCrop>false</ScaleCrop>
  <LinksUpToDate>false</LinksUpToDate>
  <CharactersWithSpaces>5057</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Administrator</cp:lastModifiedBy>
  <cp:lastPrinted>2019-05-13T03:19:00Z</cp:lastPrinted>
  <dcterms:modified xsi:type="dcterms:W3CDTF">2021-05-19T08:55:35Z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594781B9FB074B2BB185819221A2D2D9</vt:lpwstr>
  </property>
</Properties>
</file>