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350"/>
        <w:gridCol w:w="973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35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734" w:type="dxa"/>
            <w:vAlign w:val="center"/>
          </w:tcPr>
          <w:p>
            <w:pPr>
              <w:rPr>
                <w:rFonts w:hint="eastAsia" w:eastAsia="宋体"/>
                <w:sz w:val="24"/>
                <w:szCs w:val="24"/>
                <w:lang w:val="en-US" w:eastAsia="zh-CN"/>
              </w:rPr>
            </w:pPr>
            <w:r>
              <w:rPr>
                <w:rFonts w:hint="eastAsia"/>
                <w:sz w:val="24"/>
                <w:szCs w:val="24"/>
              </w:rPr>
              <w:t xml:space="preserve">受审核部门：管理层、财务部、员工代表 </w:t>
            </w:r>
            <w:r>
              <w:rPr>
                <w:sz w:val="24"/>
                <w:szCs w:val="24"/>
              </w:rPr>
              <w:t xml:space="preserve">  </w:t>
            </w:r>
            <w:r>
              <w:rPr>
                <w:rFonts w:hint="eastAsia"/>
                <w:sz w:val="24"/>
                <w:szCs w:val="24"/>
              </w:rPr>
              <w:t xml:space="preserve">主管领导：宣轩 </w:t>
            </w:r>
            <w:r>
              <w:rPr>
                <w:sz w:val="24"/>
                <w:szCs w:val="24"/>
              </w:rPr>
              <w:t xml:space="preserve">  </w:t>
            </w:r>
            <w:r>
              <w:rPr>
                <w:rFonts w:hint="eastAsia"/>
                <w:sz w:val="24"/>
                <w:szCs w:val="24"/>
              </w:rPr>
              <w:t xml:space="preserve">陪同人员： </w:t>
            </w:r>
            <w:r>
              <w:rPr>
                <w:rFonts w:hint="eastAsia"/>
                <w:sz w:val="24"/>
                <w:szCs w:val="24"/>
                <w:lang w:eastAsia="zh-CN"/>
              </w:rPr>
              <w:t>谢云腾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0" w:type="dxa"/>
            <w:vMerge w:val="continue"/>
            <w:vAlign w:val="center"/>
          </w:tcPr>
          <w:p/>
        </w:tc>
        <w:tc>
          <w:tcPr>
            <w:tcW w:w="1350" w:type="dxa"/>
            <w:vMerge w:val="continue"/>
            <w:vAlign w:val="center"/>
          </w:tcPr>
          <w:p/>
        </w:tc>
        <w:tc>
          <w:tcPr>
            <w:tcW w:w="9734" w:type="dxa"/>
            <w:vAlign w:val="center"/>
          </w:tcPr>
          <w:p>
            <w:pPr>
              <w:spacing w:before="120"/>
              <w:rPr>
                <w:rFonts w:hint="eastAsia"/>
                <w:lang w:eastAsia="zh-CN"/>
              </w:rPr>
            </w:pPr>
            <w:r>
              <w:rPr>
                <w:rFonts w:hint="eastAsia"/>
              </w:rPr>
              <w:t>审核员：林兵</w:t>
            </w:r>
            <w:r>
              <w:rPr>
                <w:rFonts w:hint="eastAsia"/>
                <w:lang w:eastAsia="zh-CN"/>
              </w:rPr>
              <w:t>（</w:t>
            </w:r>
            <w:r>
              <w:rPr>
                <w:rFonts w:hint="eastAsia"/>
                <w:lang w:val="en-US" w:eastAsia="zh-CN"/>
              </w:rPr>
              <w:t>QEO</w:t>
            </w:r>
            <w:r>
              <w:rPr>
                <w:rFonts w:hint="eastAsia"/>
                <w:lang w:eastAsia="zh-CN"/>
              </w:rPr>
              <w:t>）</w:t>
            </w:r>
            <w:r>
              <w:rPr>
                <w:rFonts w:hint="eastAsia"/>
              </w:rPr>
              <w:t>、肖新龙</w:t>
            </w:r>
            <w:r>
              <w:rPr>
                <w:rFonts w:hint="eastAsia"/>
                <w:lang w:eastAsia="zh-CN"/>
              </w:rPr>
              <w:t>（</w:t>
            </w:r>
            <w:r>
              <w:rPr>
                <w:rFonts w:hint="eastAsia"/>
                <w:lang w:val="en-US" w:eastAsia="zh-CN"/>
              </w:rPr>
              <w:t>FH（QE0）</w:t>
            </w:r>
            <w:r>
              <w:rPr>
                <w:rFonts w:hint="eastAsia"/>
                <w:lang w:eastAsia="zh-CN"/>
              </w:rPr>
              <w:t>）、陈权（</w:t>
            </w:r>
            <w:r>
              <w:rPr>
                <w:rFonts w:hint="eastAsia"/>
                <w:lang w:val="en-US" w:eastAsia="zh-CN"/>
              </w:rPr>
              <w:t>QF</w:t>
            </w:r>
            <w:r>
              <w:rPr>
                <w:rFonts w:hint="eastAsia"/>
                <w:lang w:eastAsia="zh-CN"/>
              </w:rPr>
              <w:t>）</w:t>
            </w:r>
            <w:r>
              <w:rPr>
                <w:rFonts w:hint="eastAsia"/>
              </w:rPr>
              <w:t xml:space="preserve"> </w:t>
            </w:r>
            <w:r>
              <w:t xml:space="preserve"> </w:t>
            </w:r>
            <w:r>
              <w:rPr>
                <w:rFonts w:hint="eastAsia"/>
              </w:rPr>
              <w:t xml:space="preserve"> </w:t>
            </w:r>
            <w:r>
              <w:t xml:space="preserve"> </w:t>
            </w:r>
            <w:r>
              <w:rPr>
                <w:rFonts w:hint="eastAsia"/>
              </w:rPr>
              <w:t>审核时间：2</w:t>
            </w:r>
            <w:r>
              <w:t>021.</w:t>
            </w:r>
            <w:r>
              <w:rPr>
                <w:rFonts w:hint="eastAsia"/>
                <w:lang w:val="en-US" w:eastAsia="zh-CN"/>
              </w:rPr>
              <w:t>5</w:t>
            </w:r>
            <w:r>
              <w:t>.</w:t>
            </w:r>
            <w:r>
              <w:rPr>
                <w:rFonts w:hint="eastAsia"/>
                <w:lang w:val="en-US" w:eastAsia="zh-CN"/>
              </w:rPr>
              <w:t>7</w:t>
            </w:r>
            <w:bookmarkStart w:id="1" w:name="_GoBack"/>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0" w:type="dxa"/>
            <w:vMerge w:val="continue"/>
            <w:vAlign w:val="center"/>
          </w:tcPr>
          <w:p/>
        </w:tc>
        <w:tc>
          <w:tcPr>
            <w:tcW w:w="1350" w:type="dxa"/>
            <w:vMerge w:val="continue"/>
            <w:vAlign w:val="center"/>
          </w:tcPr>
          <w:p/>
        </w:tc>
        <w:tc>
          <w:tcPr>
            <w:tcW w:w="9734" w:type="dxa"/>
            <w:vAlign w:val="center"/>
          </w:tcPr>
          <w:p>
            <w:pPr>
              <w:tabs>
                <w:tab w:val="left" w:pos="709"/>
              </w:tabs>
              <w:ind w:right="57"/>
              <w:jc w:val="left"/>
              <w:rPr>
                <w:rFonts w:hint="eastAsia"/>
                <w:sz w:val="24"/>
                <w:szCs w:val="24"/>
              </w:rPr>
            </w:pPr>
            <w:r>
              <w:rPr>
                <w:rFonts w:hint="eastAsia"/>
                <w:sz w:val="24"/>
                <w:szCs w:val="24"/>
              </w:rPr>
              <w:t>审核条款：</w:t>
            </w:r>
          </w:p>
          <w:p>
            <w:pPr>
              <w:tabs>
                <w:tab w:val="left" w:pos="709"/>
              </w:tabs>
              <w:ind w:right="57"/>
              <w:jc w:val="left"/>
              <w:rPr>
                <w:sz w:val="21"/>
                <w:szCs w:val="21"/>
              </w:rPr>
            </w:pPr>
            <w:r>
              <w:rPr>
                <w:sz w:val="21"/>
                <w:szCs w:val="21"/>
              </w:rPr>
              <w:t>QMS：4.1/ 4.2 /4.3/ 4.4/ 5.1/5.2/5.3/6.1/6.2/6.3/7.1.1/9.1.1</w:t>
            </w:r>
            <w:r>
              <w:rPr>
                <w:rFonts w:hint="eastAsia"/>
                <w:sz w:val="21"/>
                <w:szCs w:val="21"/>
              </w:rPr>
              <w:t>/</w:t>
            </w:r>
            <w:r>
              <w:rPr>
                <w:sz w:val="21"/>
                <w:szCs w:val="21"/>
              </w:rPr>
              <w:t>9.3</w:t>
            </w:r>
            <w:r>
              <w:rPr>
                <w:rFonts w:hint="eastAsia"/>
                <w:sz w:val="21"/>
                <w:szCs w:val="21"/>
              </w:rPr>
              <w:t>/</w:t>
            </w:r>
            <w:r>
              <w:rPr>
                <w:sz w:val="21"/>
                <w:szCs w:val="21"/>
              </w:rPr>
              <w:t>10.1/10.3</w:t>
            </w:r>
          </w:p>
          <w:p>
            <w:pPr>
              <w:tabs>
                <w:tab w:val="left" w:pos="709"/>
              </w:tabs>
              <w:ind w:right="57"/>
              <w:jc w:val="left"/>
              <w:rPr>
                <w:sz w:val="21"/>
                <w:szCs w:val="21"/>
              </w:rPr>
            </w:pPr>
            <w:r>
              <w:rPr>
                <w:sz w:val="21"/>
                <w:szCs w:val="21"/>
              </w:rPr>
              <w:t>EMS：4.1/ 4.2 /4.3/ 4.4 /5.1</w:t>
            </w:r>
            <w:r>
              <w:rPr>
                <w:rFonts w:hint="eastAsia"/>
                <w:sz w:val="21"/>
                <w:szCs w:val="21"/>
                <w:lang w:val="en-US" w:eastAsia="zh-CN"/>
              </w:rPr>
              <w:t>/</w:t>
            </w:r>
            <w:r>
              <w:rPr>
                <w:sz w:val="21"/>
                <w:szCs w:val="21"/>
              </w:rPr>
              <w:t xml:space="preserve"> 5.2/ 5.3/ 6.1/ 6.2/ 7.1/ 7.4/ 9.3/10.1/10.3</w:t>
            </w:r>
          </w:p>
          <w:p>
            <w:pPr>
              <w:tabs>
                <w:tab w:val="left" w:pos="709"/>
              </w:tabs>
              <w:ind w:right="57"/>
              <w:jc w:val="left"/>
              <w:rPr>
                <w:sz w:val="21"/>
                <w:szCs w:val="21"/>
              </w:rPr>
            </w:pPr>
            <w:r>
              <w:rPr>
                <w:sz w:val="21"/>
                <w:szCs w:val="21"/>
              </w:rPr>
              <w:t xml:space="preserve">OHS：4.1 /4.2/ 4.3 /4.4/ 5.1 </w:t>
            </w:r>
            <w:r>
              <w:rPr>
                <w:rFonts w:hint="eastAsia"/>
                <w:sz w:val="21"/>
                <w:szCs w:val="21"/>
                <w:lang w:val="en-US" w:eastAsia="zh-CN"/>
              </w:rPr>
              <w:t>/</w:t>
            </w:r>
            <w:r>
              <w:rPr>
                <w:sz w:val="21"/>
                <w:szCs w:val="21"/>
              </w:rPr>
              <w:t>5.2 /5.3/ 6.1/ 6.2/7.1/7.4</w:t>
            </w:r>
            <w:r>
              <w:rPr>
                <w:rFonts w:hint="eastAsia"/>
                <w:sz w:val="21"/>
                <w:szCs w:val="21"/>
              </w:rPr>
              <w:t>/</w:t>
            </w:r>
            <w:r>
              <w:rPr>
                <w:sz w:val="21"/>
                <w:szCs w:val="21"/>
              </w:rPr>
              <w:t>9.3/ 10.1/10.3</w:t>
            </w:r>
          </w:p>
          <w:p>
            <w:pPr>
              <w:tabs>
                <w:tab w:val="left" w:pos="709"/>
              </w:tabs>
              <w:ind w:right="57"/>
              <w:jc w:val="left"/>
              <w:rPr>
                <w:sz w:val="21"/>
                <w:szCs w:val="21"/>
              </w:rPr>
            </w:pPr>
            <w:r>
              <w:rPr>
                <w:sz w:val="21"/>
                <w:szCs w:val="21"/>
              </w:rPr>
              <w:t>FSMS：</w:t>
            </w:r>
            <w:r>
              <w:rPr>
                <w:rFonts w:hint="eastAsia"/>
                <w:sz w:val="21"/>
                <w:szCs w:val="21"/>
              </w:rPr>
              <w:t>4</w:t>
            </w:r>
            <w:r>
              <w:rPr>
                <w:sz w:val="21"/>
                <w:szCs w:val="21"/>
              </w:rPr>
              <w:t>.1/4.2/4.3/4.4/5.1 /5.2/5.3/6.1/6.2/6.3/7.1.1/7.4/9.1.1/9.3/10.2/10.3</w:t>
            </w:r>
          </w:p>
          <w:p>
            <w:pPr>
              <w:tabs>
                <w:tab w:val="left" w:pos="709"/>
              </w:tabs>
              <w:ind w:right="57"/>
              <w:jc w:val="left"/>
              <w:rPr>
                <w:sz w:val="21"/>
                <w:szCs w:val="21"/>
              </w:rPr>
            </w:pPr>
            <w:r>
              <w:rPr>
                <w:sz w:val="21"/>
                <w:szCs w:val="21"/>
              </w:rPr>
              <w:t>H:4.1/4.2.1/4.2.2/5.1/5.2/5.3/5.5及GB14881相关条款内容及HACCP 1.0要求</w:t>
            </w:r>
          </w:p>
          <w:p>
            <w:pPr>
              <w:rPr>
                <w:sz w:val="24"/>
                <w:szCs w:val="24"/>
              </w:rPr>
            </w:pPr>
            <w:r>
              <w:rPr>
                <w:rFonts w:hint="eastAsia"/>
                <w:sz w:val="21"/>
                <w:szCs w:val="21"/>
              </w:rPr>
              <w:t>OHS: 5.4</w:t>
            </w:r>
            <w:r>
              <w:rPr>
                <w:rFonts w:hint="eastAsia"/>
                <w:sz w:val="21"/>
                <w:szCs w:val="21"/>
                <w:lang w:val="en-US" w:eastAsia="zh-CN"/>
              </w:rPr>
              <w:t>/</w:t>
            </w:r>
            <w:r>
              <w:rPr>
                <w:rFonts w:hint="eastAsia"/>
                <w:sz w:val="21"/>
                <w:szCs w:val="21"/>
              </w:rPr>
              <w:t>8.1</w:t>
            </w:r>
            <w:r>
              <w:rPr>
                <w:rFonts w:hint="eastAsia"/>
                <w:sz w:val="21"/>
                <w:szCs w:val="21"/>
                <w:lang w:val="en-US" w:eastAsia="zh-CN"/>
              </w:rPr>
              <w:t>/</w:t>
            </w:r>
            <w:r>
              <w:rPr>
                <w:rFonts w:hint="eastAsia"/>
                <w:sz w:val="21"/>
                <w:szCs w:val="21"/>
              </w:rPr>
              <w:t>8.2</w:t>
            </w:r>
            <w:r>
              <w:rPr>
                <w:rFonts w:hint="eastAsia"/>
                <w:sz w:val="21"/>
                <w:szCs w:val="21"/>
                <w:lang w:val="en-US" w:eastAsia="zh-CN"/>
              </w:rPr>
              <w:t>/</w:t>
            </w:r>
            <w:r>
              <w:rPr>
                <w:rFonts w:hint="eastAsia"/>
                <w:sz w:val="21"/>
                <w:szCs w:val="21"/>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1350"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Q</w:t>
            </w:r>
            <w:r>
              <w:rPr>
                <w:rFonts w:hint="eastAsia" w:ascii="宋体" w:hAnsi="宋体" w:cs="宋体"/>
                <w:szCs w:val="21"/>
              </w:rPr>
              <w:t>EO</w:t>
            </w:r>
            <w:r>
              <w:rPr>
                <w:rFonts w:hint="eastAsia" w:ascii="宋体" w:hAnsi="宋体" w:cs="宋体"/>
                <w:szCs w:val="21"/>
                <w:lang w:val="en-US" w:eastAsia="zh-CN"/>
              </w:rPr>
              <w:t>FH</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Q</w:t>
            </w:r>
            <w:r>
              <w:rPr>
                <w:rFonts w:hint="eastAsia" w:ascii="宋体" w:hAnsi="宋体" w:cs="宋体"/>
                <w:szCs w:val="21"/>
              </w:rPr>
              <w:t>EO</w:t>
            </w:r>
            <w:r>
              <w:rPr>
                <w:rFonts w:hint="eastAsia" w:ascii="宋体" w:hAnsi="宋体" w:cs="宋体"/>
                <w:szCs w:val="21"/>
                <w:lang w:val="en-US" w:eastAsia="zh-CN"/>
              </w:rPr>
              <w:t>F</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973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该公司200</w:t>
            </w:r>
            <w:r>
              <w:rPr>
                <w:rFonts w:hint="eastAsia" w:ascii="宋体" w:hAnsi="宋体" w:cs="宋体"/>
                <w:szCs w:val="21"/>
                <w:lang w:val="en-US" w:eastAsia="zh-CN"/>
              </w:rPr>
              <w:t>6</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日注册，法人：</w:t>
            </w:r>
            <w:r>
              <w:rPr>
                <w:rFonts w:hint="eastAsia" w:ascii="宋体" w:hAnsi="宋体" w:cs="宋体"/>
                <w:szCs w:val="21"/>
                <w:lang w:eastAsia="zh-CN"/>
              </w:rPr>
              <w:t>宣跃香</w:t>
            </w:r>
            <w:r>
              <w:rPr>
                <w:rFonts w:hint="eastAsia" w:ascii="宋体" w:hAnsi="宋体" w:cs="宋体"/>
                <w:szCs w:val="21"/>
              </w:rPr>
              <w:t>，总经理</w:t>
            </w:r>
            <w:r>
              <w:rPr>
                <w:rFonts w:hint="eastAsia"/>
                <w:sz w:val="24"/>
                <w:szCs w:val="24"/>
              </w:rPr>
              <w:t>宣轩</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w:t>
            </w:r>
            <w:r>
              <w:rPr>
                <w:rFonts w:hint="eastAsia" w:ascii="宋体" w:hAnsi="宋体" w:cs="宋体"/>
                <w:szCs w:val="21"/>
                <w:lang w:eastAsia="zh-CN"/>
              </w:rPr>
              <w:t>杭州市滨江区西兴街道信庭路</w:t>
            </w:r>
            <w:r>
              <w:rPr>
                <w:rFonts w:hint="eastAsia" w:ascii="宋体" w:hAnsi="宋体" w:cs="宋体"/>
                <w:szCs w:val="21"/>
                <w:lang w:val="en-US" w:eastAsia="zh-CN"/>
              </w:rPr>
              <w:t>155号</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lang w:eastAsia="zh-CN"/>
              </w:rPr>
              <w:t>食品生产许可证地址</w:t>
            </w:r>
            <w:r>
              <w:rPr>
                <w:rFonts w:hint="eastAsia" w:ascii="宋体" w:hAnsi="宋体" w:cs="宋体"/>
                <w:szCs w:val="21"/>
              </w:rPr>
              <w:t>：浙</w:t>
            </w:r>
            <w:r>
              <w:rPr>
                <w:rFonts w:hint="eastAsia" w:ascii="宋体" w:hAnsi="宋体" w:cs="宋体"/>
                <w:szCs w:val="21"/>
                <w:lang w:eastAsia="zh-CN"/>
              </w:rPr>
              <w:t>杭州市滨江区西兴街道信庭路</w:t>
            </w:r>
            <w:r>
              <w:rPr>
                <w:rFonts w:hint="eastAsia" w:ascii="宋体" w:hAnsi="宋体" w:cs="宋体"/>
                <w:szCs w:val="21"/>
                <w:lang w:val="en-US" w:eastAsia="zh-CN"/>
              </w:rPr>
              <w:t>155号</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营业执照</w:t>
            </w:r>
            <w:r>
              <w:rPr>
                <w:rFonts w:hint="eastAsia" w:ascii="宋体" w:hAnsi="宋体" w:cs="宋体"/>
                <w:szCs w:val="21"/>
                <w:lang w:eastAsia="zh-CN"/>
              </w:rPr>
              <w:t>、食品经营许可证</w:t>
            </w:r>
            <w:r>
              <w:rPr>
                <w:rFonts w:hint="eastAsia" w:ascii="宋体" w:hAnsi="宋体" w:cs="宋体"/>
                <w:szCs w:val="21"/>
              </w:rPr>
              <w:t>符合要求，住所与经营地址一致，基本符合。</w:t>
            </w:r>
          </w:p>
          <w:p>
            <w:pPr>
              <w:spacing w:line="280" w:lineRule="exact"/>
              <w:ind w:firstLine="420" w:firstLineChars="200"/>
              <w:rPr>
                <w:rFonts w:hint="eastAsia" w:ascii="宋体" w:hAnsi="宋体" w:cs="宋体"/>
                <w:szCs w:val="21"/>
              </w:rPr>
            </w:pPr>
            <w:r>
              <w:rPr>
                <w:rFonts w:hint="eastAsia" w:ascii="宋体" w:hAnsi="宋体" w:cs="宋体"/>
                <w:szCs w:val="21"/>
              </w:rPr>
              <w:t>认证范围为：</w:t>
            </w:r>
            <w:bookmarkStart w:id="0" w:name="审核范围"/>
          </w:p>
          <w:p>
            <w:pPr>
              <w:spacing w:line="280" w:lineRule="exact"/>
              <w:ind w:firstLine="420" w:firstLineChars="200"/>
              <w:rPr>
                <w:rFonts w:hint="eastAsia"/>
                <w:sz w:val="21"/>
                <w:szCs w:val="21"/>
              </w:rPr>
            </w:pPr>
            <w:r>
              <w:rPr>
                <w:rFonts w:hint="eastAsia"/>
                <w:sz w:val="21"/>
                <w:szCs w:val="21"/>
                <w:lang w:val="en-US" w:eastAsia="zh-CN"/>
              </w:rPr>
              <w:t>Q：</w:t>
            </w:r>
            <w:r>
              <w:rPr>
                <w:rFonts w:hint="eastAsia"/>
                <w:sz w:val="21"/>
                <w:szCs w:val="21"/>
              </w:rPr>
              <w:t>餐饮服务（热食类食品制售）</w:t>
            </w:r>
          </w:p>
          <w:p>
            <w:pPr>
              <w:spacing w:line="280" w:lineRule="exact"/>
              <w:ind w:firstLine="420" w:firstLineChars="200"/>
              <w:rPr>
                <w:rFonts w:ascii="宋体" w:hAnsi="宋体" w:cs="宋体"/>
                <w:szCs w:val="21"/>
              </w:rPr>
            </w:pPr>
            <w:r>
              <w:rPr>
                <w:rFonts w:hint="eastAsia"/>
                <w:sz w:val="21"/>
                <w:szCs w:val="21"/>
                <w:lang w:val="en-US" w:eastAsia="zh-CN"/>
              </w:rPr>
              <w:t>E：</w:t>
            </w:r>
            <w:r>
              <w:rPr>
                <w:rFonts w:hint="eastAsia"/>
                <w:sz w:val="21"/>
                <w:szCs w:val="21"/>
              </w:rPr>
              <w:t>餐饮服务（热食类食品制售）</w:t>
            </w:r>
            <w:r>
              <w:rPr>
                <w:rFonts w:hint="eastAsia" w:ascii="宋体" w:hAnsi="宋体" w:cs="宋体"/>
                <w:szCs w:val="21"/>
              </w:rPr>
              <w:t>所涉及的相关环境管理活动</w:t>
            </w:r>
          </w:p>
          <w:p>
            <w:pPr>
              <w:spacing w:line="280" w:lineRule="exact"/>
              <w:ind w:firstLine="420" w:firstLineChars="200"/>
              <w:rPr>
                <w:rFonts w:hint="eastAsia"/>
                <w:sz w:val="21"/>
                <w:szCs w:val="21"/>
              </w:rPr>
            </w:pPr>
            <w:r>
              <w:rPr>
                <w:rFonts w:hint="eastAsia"/>
                <w:sz w:val="21"/>
                <w:szCs w:val="21"/>
              </w:rPr>
              <w:t>O：餐饮服务（热食类食品制售）所涉及的相关职业健康安全管理活动</w:t>
            </w:r>
            <w:bookmarkEnd w:id="0"/>
          </w:p>
          <w:p>
            <w:pPr>
              <w:spacing w:line="280" w:lineRule="exact"/>
              <w:ind w:firstLine="420" w:firstLineChars="200"/>
              <w:rPr>
                <w:rFonts w:hint="eastAsia"/>
                <w:sz w:val="21"/>
                <w:szCs w:val="21"/>
              </w:rPr>
            </w:pPr>
            <w:r>
              <w:rPr>
                <w:rFonts w:hint="eastAsia"/>
                <w:sz w:val="21"/>
                <w:szCs w:val="21"/>
              </w:rPr>
              <w:t>F：位于杭州市滨江区西兴街道信庭路155号杭州鼎香餐饮管理服务有限公司中</w:t>
            </w:r>
            <w:r>
              <w:rPr>
                <w:rFonts w:hint="eastAsia"/>
                <w:sz w:val="21"/>
                <w:szCs w:val="21"/>
                <w:lang w:val="en-US" w:eastAsia="zh-CN"/>
              </w:rPr>
              <w:t>心</w:t>
            </w:r>
            <w:r>
              <w:rPr>
                <w:rFonts w:hint="eastAsia"/>
                <w:sz w:val="21"/>
                <w:szCs w:val="21"/>
              </w:rPr>
              <w:t>厨房的餐饮服务（集体用餐配送）：热食类食品制售</w:t>
            </w:r>
          </w:p>
          <w:p>
            <w:pPr>
              <w:spacing w:line="280" w:lineRule="exact"/>
              <w:ind w:firstLine="420" w:firstLineChars="200"/>
              <w:rPr>
                <w:rFonts w:hint="eastAsia"/>
                <w:sz w:val="21"/>
                <w:szCs w:val="21"/>
                <w:highlight w:val="none"/>
                <w:lang w:eastAsia="zh-CN"/>
              </w:rPr>
            </w:pPr>
            <w:r>
              <w:rPr>
                <w:rFonts w:hint="eastAsia"/>
                <w:sz w:val="21"/>
                <w:szCs w:val="21"/>
                <w:highlight w:val="none"/>
              </w:rPr>
              <w:t>F：</w:t>
            </w:r>
            <w:r>
              <w:rPr>
                <w:rFonts w:hint="eastAsia"/>
                <w:sz w:val="21"/>
                <w:szCs w:val="21"/>
                <w:highlight w:val="none"/>
                <w:lang w:val="en-US" w:eastAsia="zh-CN"/>
              </w:rPr>
              <w:t>位于浙江省杭州市滨江区西兴街道东流路700号3号楼1楼杭州海康威视数字技术股份有限公司三食堂</w:t>
            </w:r>
            <w:r>
              <w:rPr>
                <w:rFonts w:hint="eastAsia"/>
                <w:sz w:val="21"/>
                <w:szCs w:val="21"/>
                <w:highlight w:val="none"/>
              </w:rPr>
              <w:t>的餐饮服务（热食类食品制售）</w:t>
            </w:r>
            <w:r>
              <w:rPr>
                <w:rFonts w:hint="eastAsia"/>
                <w:sz w:val="21"/>
                <w:szCs w:val="21"/>
                <w:highlight w:val="none"/>
                <w:lang w:eastAsia="zh-CN"/>
              </w:rPr>
              <w:t>（</w:t>
            </w:r>
            <w:r>
              <w:rPr>
                <w:rFonts w:hint="eastAsia"/>
                <w:sz w:val="21"/>
                <w:szCs w:val="21"/>
                <w:highlight w:val="none"/>
                <w:lang w:val="en-US" w:eastAsia="zh-CN"/>
              </w:rPr>
              <w:t>承包食堂</w:t>
            </w:r>
            <w:r>
              <w:rPr>
                <w:rFonts w:hint="eastAsia"/>
                <w:sz w:val="21"/>
                <w:szCs w:val="21"/>
                <w:highlight w:val="none"/>
                <w:lang w:eastAsia="zh-CN"/>
              </w:rPr>
              <w:t>）；</w:t>
            </w:r>
          </w:p>
          <w:p>
            <w:pPr>
              <w:spacing w:line="280" w:lineRule="exact"/>
              <w:ind w:firstLine="420" w:firstLineChars="200"/>
              <w:rPr>
                <w:rFonts w:hint="eastAsia"/>
                <w:lang w:val="en-US" w:eastAsia="zh-CN"/>
              </w:rPr>
            </w:pPr>
            <w:r>
              <w:rPr>
                <w:rFonts w:hint="eastAsia"/>
                <w:sz w:val="21"/>
                <w:szCs w:val="21"/>
              </w:rPr>
              <w:t>H：位于杭州市滨江区西兴街道信庭路155号杭州鼎香餐饮管理服务有限公司中央厨房的餐饮服务（集体用餐配送）：热食类食品制售</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公司管理体系设置了总经</w:t>
            </w:r>
            <w:r>
              <w:rPr>
                <w:rFonts w:hint="eastAsia" w:ascii="宋体" w:hAnsi="宋体" w:cs="宋体"/>
                <w:szCs w:val="21"/>
                <w:highlight w:val="none"/>
                <w:lang w:eastAsia="zh-CN"/>
              </w:rPr>
              <w:t>办、产品研发部、采购管理部、财务部、行政人事部、综合管理部、监察督导部、中</w:t>
            </w:r>
            <w:r>
              <w:rPr>
                <w:rFonts w:hint="eastAsia" w:ascii="宋体" w:hAnsi="宋体" w:cs="宋体"/>
                <w:szCs w:val="21"/>
                <w:highlight w:val="none"/>
                <w:lang w:val="en-US" w:eastAsia="zh-CN"/>
              </w:rPr>
              <w:t>心</w:t>
            </w:r>
            <w:r>
              <w:rPr>
                <w:rFonts w:hint="eastAsia" w:ascii="宋体" w:hAnsi="宋体" w:cs="宋体"/>
                <w:szCs w:val="21"/>
                <w:highlight w:val="none"/>
                <w:lang w:eastAsia="zh-CN"/>
              </w:rPr>
              <w:t>厨房</w:t>
            </w:r>
            <w:r>
              <w:rPr>
                <w:rFonts w:hint="eastAsia" w:ascii="宋体" w:hAnsi="宋体" w:cs="宋体"/>
                <w:szCs w:val="21"/>
                <w:highlight w:val="none"/>
              </w:rPr>
              <w:t>。目前企业排放涉及的主要为生活污水，</w:t>
            </w:r>
            <w:r>
              <w:rPr>
                <w:rFonts w:hint="eastAsia" w:ascii="宋体" w:hAnsi="宋体" w:cs="宋体"/>
                <w:szCs w:val="21"/>
                <w:highlight w:val="none"/>
                <w:lang w:eastAsia="zh-CN"/>
              </w:rPr>
              <w:t>厨余垃圾、油脂；由滨江区政府制定专业单位垃圾回收，</w:t>
            </w:r>
            <w:r>
              <w:rPr>
                <w:rFonts w:hint="eastAsia" w:ascii="宋体" w:hAnsi="宋体" w:cs="宋体"/>
                <w:szCs w:val="21"/>
                <w:highlight w:val="none"/>
              </w:rPr>
              <w:t>提供了</w:t>
            </w:r>
            <w:r>
              <w:rPr>
                <w:rFonts w:hint="eastAsia" w:ascii="宋体" w:hAnsi="宋体" w:cs="宋体"/>
                <w:szCs w:val="21"/>
                <w:highlight w:val="none"/>
                <w:lang w:eastAsia="zh-CN"/>
              </w:rPr>
              <w:t>相关合作协议：与浙江卓尚环保能源有限公司的废弃油脂回收协议，与杭州滨江环卫清洁有限公司的垃圾清运合同。</w:t>
            </w:r>
          </w:p>
          <w:p>
            <w:pPr>
              <w:spacing w:line="28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总经理</w:t>
            </w:r>
            <w:r>
              <w:rPr>
                <w:rFonts w:hint="eastAsia" w:ascii="宋体" w:hAnsi="宋体" w:cs="宋体"/>
                <w:szCs w:val="21"/>
                <w:highlight w:val="none"/>
                <w:lang w:eastAsia="zh-CN"/>
              </w:rPr>
              <w:t>宣轩</w:t>
            </w:r>
            <w:r>
              <w:rPr>
                <w:rFonts w:hint="eastAsia" w:ascii="宋体" w:hAnsi="宋体" w:cs="宋体"/>
                <w:szCs w:val="21"/>
                <w:highlight w:val="none"/>
              </w:rPr>
              <w:t>说：公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ascii="宋体" w:hAnsi="宋体" w:cs="宋体"/>
                <w:szCs w:val="21"/>
                <w:highlight w:val="none"/>
                <w:lang w:eastAsia="zh-CN"/>
              </w:rPr>
              <w:t>目前市场上</w:t>
            </w:r>
            <w:r>
              <w:rPr>
                <w:rFonts w:hint="eastAsia" w:ascii="宋体" w:hAnsi="宋体" w:cs="宋体"/>
                <w:szCs w:val="21"/>
                <w:lang w:eastAsia="zh-CN"/>
              </w:rPr>
              <w:t>团餐门槛比较高，集中配餐中央厨房的头部企业占比</w:t>
            </w:r>
            <w:r>
              <w:rPr>
                <w:rFonts w:hint="eastAsia" w:ascii="宋体" w:hAnsi="宋体" w:cs="宋体"/>
                <w:szCs w:val="21"/>
                <w:lang w:val="en-US" w:eastAsia="zh-CN"/>
              </w:rPr>
              <w:t>30%，公司目前全国排名170多名；配餐的供应链端发展缓慢，主要是中央厨房，因国家塑料制品的管控限塑令发布，环保要求、垃圾分类都管控严格。目前公司垃圾分类处理按要求做；公司建设了食安信息化平台可追溯，成立检测室。体系建设是为防范食品安全风险和员工职业健康的风险。询问总经理，体系运行以来，没有发生重大顾客投诉、环境或职业健康安全事故等。公司直管机构为滨江区市场监督管理局；外部检查：二方客户检查和</w:t>
            </w:r>
            <w:r>
              <w:rPr>
                <w:rFonts w:hint="eastAsia" w:ascii="宋体" w:hAnsi="宋体" w:cs="宋体"/>
                <w:szCs w:val="21"/>
                <w:highlight w:val="none"/>
                <w:lang w:val="en-US" w:eastAsia="zh-CN"/>
              </w:rPr>
              <w:t>政府机构抽查。水产品冻品对于新冠的防疫，五证配备，不用进口水产品。</w:t>
            </w:r>
          </w:p>
          <w:p>
            <w:pPr>
              <w:spacing w:line="280" w:lineRule="exact"/>
              <w:ind w:firstLine="420" w:firstLineChars="200"/>
              <w:rPr>
                <w:rFonts w:ascii="宋体" w:hAnsi="宋体" w:cs="宋体"/>
                <w:szCs w:val="21"/>
              </w:rPr>
            </w:pPr>
            <w:r>
              <w:rPr>
                <w:rFonts w:hint="eastAsia" w:ascii="宋体" w:hAnsi="宋体" w:cs="宋体"/>
                <w:szCs w:val="21"/>
                <w:lang w:val="en-US" w:eastAsia="zh-CN"/>
              </w:rPr>
              <w:t>目前公司共有55人，与申请基本一致。</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040" w:type="dxa"/>
          </w:tcPr>
          <w:p>
            <w:r>
              <w:rPr>
                <w:rFonts w:hint="eastAsia"/>
                <w:sz w:val="24"/>
                <w:szCs w:val="24"/>
              </w:rPr>
              <w:t>理解相关方的需求和期望</w:t>
            </w:r>
          </w:p>
        </w:tc>
        <w:tc>
          <w:tcPr>
            <w:tcW w:w="1350" w:type="dxa"/>
          </w:tcPr>
          <w:p>
            <w:r>
              <w:rPr>
                <w:rFonts w:hint="eastAsia"/>
                <w:sz w:val="24"/>
                <w:szCs w:val="24"/>
                <w:lang w:val="en-US" w:eastAsia="zh-CN"/>
              </w:rPr>
              <w:t>Q</w:t>
            </w:r>
            <w:r>
              <w:rPr>
                <w:rFonts w:hint="eastAsia"/>
                <w:sz w:val="24"/>
                <w:szCs w:val="24"/>
              </w:rPr>
              <w:t>EO</w:t>
            </w:r>
            <w:r>
              <w:rPr>
                <w:rFonts w:hint="eastAsia"/>
                <w:sz w:val="24"/>
                <w:szCs w:val="24"/>
                <w:lang w:val="en-US" w:eastAsia="zh-CN"/>
              </w:rPr>
              <w:t>F</w:t>
            </w:r>
            <w:r>
              <w:rPr>
                <w:rFonts w:hint="eastAsia"/>
                <w:sz w:val="24"/>
                <w:szCs w:val="24"/>
              </w:rPr>
              <w:t>4.2</w:t>
            </w:r>
          </w:p>
        </w:tc>
        <w:tc>
          <w:tcPr>
            <w:tcW w:w="9734" w:type="dxa"/>
            <w:vAlign w:val="center"/>
          </w:tcPr>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公司主要对与环境职业健康安全相关的各相关方及其要求的相关信息进行监视和评审，以便于理解和持续满足相关方的需求和期望。</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制定了《</w:t>
            </w:r>
            <w:r>
              <w:rPr>
                <w:rFonts w:hint="eastAsia" w:ascii="宋体" w:hAnsi="宋体" w:cs="宋体"/>
                <w:szCs w:val="21"/>
              </w:rPr>
              <w:t>相关方管理控制制程序</w:t>
            </w:r>
            <w:r>
              <w:rPr>
                <w:rFonts w:hint="eastAsia" w:ascii="宋体" w:hAnsi="宋体" w:cs="宋体"/>
                <w:szCs w:val="21"/>
                <w:lang w:eastAsia="zh-CN"/>
              </w:rPr>
              <w:t>》</w:t>
            </w:r>
            <w:r>
              <w:rPr>
                <w:rFonts w:hint="eastAsia" w:ascii="宋体" w:hAnsi="宋体" w:cs="宋体"/>
                <w:szCs w:val="21"/>
              </w:rPr>
              <w:t>公司</w:t>
            </w:r>
            <w:r>
              <w:rPr>
                <w:rFonts w:hint="eastAsia" w:ascii="宋体" w:hAnsi="宋体" w:cs="宋体"/>
                <w:szCs w:val="21"/>
                <w:lang w:eastAsia="zh-CN"/>
              </w:rPr>
              <w:t>识别的相关方</w:t>
            </w:r>
            <w:r>
              <w:rPr>
                <w:rFonts w:hint="eastAsia" w:ascii="宋体" w:hAnsi="宋体" w:cs="宋体"/>
                <w:szCs w:val="21"/>
              </w:rPr>
              <w:t>：a)物资供方（如主辅食材，硒鼓、墨盒、色带等办公用品，办公设施)； b)设备供方（如运输公司、设备检修)； c)劳动防护用品供方(如手套等)；d)废弃物回收方等</w:t>
            </w:r>
            <w:r>
              <w:rPr>
                <w:rFonts w:hint="eastAsia" w:ascii="宋体" w:hAnsi="宋体" w:cs="宋体"/>
                <w:szCs w:val="21"/>
                <w:lang w:eastAsia="zh-CN"/>
              </w:rPr>
              <w:t>。</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highlight w:val="none"/>
                <w:lang w:eastAsia="zh-CN"/>
              </w:rPr>
              <w:t>未能提供组织的相关方的需求和期望清单，未能将与组织相关的相关全部识别如顾客、员工、政府机构等，未能将这些相关方的需求和期望收集并制定相应的措施。</w:t>
            </w:r>
            <w:r>
              <w:rPr>
                <w:rFonts w:hint="eastAsia" w:ascii="宋体" w:hAnsi="宋体" w:cs="宋体"/>
                <w:szCs w:val="21"/>
                <w:highlight w:val="none"/>
              </w:rPr>
              <w:t>识别</w:t>
            </w:r>
            <w:r>
              <w:rPr>
                <w:rFonts w:hint="eastAsia" w:ascii="宋体" w:hAnsi="宋体" w:cs="宋体"/>
                <w:szCs w:val="21"/>
                <w:highlight w:val="none"/>
                <w:lang w:eastAsia="zh-CN"/>
              </w:rPr>
              <w:t>不</w:t>
            </w:r>
            <w:r>
              <w:rPr>
                <w:rFonts w:hint="eastAsia" w:ascii="宋体" w:hAnsi="宋体" w:cs="宋体"/>
                <w:szCs w:val="21"/>
                <w:highlight w:val="none"/>
              </w:rPr>
              <w:t>充分。</w:t>
            </w:r>
            <w:r>
              <w:rPr>
                <w:rFonts w:hint="eastAsia" w:ascii="宋体" w:hAnsi="宋体" w:cs="宋体"/>
                <w:szCs w:val="21"/>
                <w:highlight w:val="none"/>
                <w:lang w:val="en-US" w:eastAsia="zh-CN"/>
              </w:rPr>
              <w:t>已现场沟通，后期完善。</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r>
              <w:rPr>
                <w:rFonts w:hint="eastAsia"/>
                <w:sz w:val="24"/>
                <w:szCs w:val="24"/>
              </w:rPr>
              <w:t>质量/环境/职业健康安全管理体系及其过程</w:t>
            </w:r>
          </w:p>
        </w:tc>
        <w:tc>
          <w:tcPr>
            <w:tcW w:w="1350" w:type="dxa"/>
          </w:tcPr>
          <w:p>
            <w:r>
              <w:rPr>
                <w:rFonts w:hint="eastAsia"/>
                <w:sz w:val="24"/>
                <w:szCs w:val="24"/>
                <w:lang w:val="en-US" w:eastAsia="zh-CN"/>
              </w:rPr>
              <w:t>Q</w:t>
            </w:r>
            <w:r>
              <w:rPr>
                <w:rFonts w:hint="eastAsia"/>
                <w:sz w:val="24"/>
                <w:szCs w:val="24"/>
              </w:rPr>
              <w:t>EO</w:t>
            </w:r>
            <w:r>
              <w:rPr>
                <w:rFonts w:hint="eastAsia"/>
                <w:sz w:val="24"/>
                <w:szCs w:val="24"/>
                <w:lang w:val="en-US" w:eastAsia="zh-CN"/>
              </w:rPr>
              <w:t>F</w:t>
            </w:r>
            <w:r>
              <w:rPr>
                <w:rFonts w:hint="eastAsia"/>
                <w:sz w:val="24"/>
                <w:szCs w:val="24"/>
              </w:rPr>
              <w:t>4.4</w:t>
            </w:r>
          </w:p>
        </w:tc>
        <w:tc>
          <w:tcPr>
            <w:tcW w:w="9734" w:type="dxa"/>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该公司</w:t>
            </w:r>
            <w:r>
              <w:rPr>
                <w:rFonts w:hint="eastAsia"/>
                <w:highlight w:val="none"/>
              </w:rPr>
              <w:t>根据</w:t>
            </w:r>
            <w:r>
              <w:rPr>
                <w:rFonts w:hint="eastAsia"/>
              </w:rPr>
              <w:t>自身的实际情况导入</w:t>
            </w:r>
            <w:r>
              <w:rPr>
                <w:rFonts w:hint="eastAsia"/>
                <w:lang w:eastAsia="zh-CN"/>
              </w:rPr>
              <w:t>质量、</w:t>
            </w:r>
            <w:r>
              <w:rPr>
                <w:rFonts w:hint="eastAsia"/>
              </w:rPr>
              <w:t>环境</w:t>
            </w:r>
            <w:r>
              <w:rPr>
                <w:rFonts w:hint="eastAsia"/>
                <w:lang w:eastAsia="zh-CN"/>
              </w:rPr>
              <w:t>、</w:t>
            </w:r>
            <w:r>
              <w:rPr>
                <w:rFonts w:hint="eastAsia"/>
              </w:rPr>
              <w:t>职业健康安全</w:t>
            </w:r>
            <w:r>
              <w:rPr>
                <w:rFonts w:hint="eastAsia"/>
                <w:lang w:eastAsia="zh-CN"/>
              </w:rPr>
              <w:t>、食品安全</w:t>
            </w:r>
            <w:r>
              <w:rPr>
                <w:rFonts w:hint="eastAsia"/>
              </w:rPr>
              <w:t>管理标准体系，按照标准的要求组织人员编制了管理手册、作业文件和记录表格，制定了管理方针和管理目标。实施管理体系</w:t>
            </w:r>
            <w:r>
              <w:rPr>
                <w:rFonts w:hint="eastAsia"/>
                <w:lang w:eastAsia="zh-CN"/>
              </w:rPr>
              <w:t>后</w:t>
            </w:r>
            <w:r>
              <w:rPr>
                <w:rFonts w:hint="eastAsia"/>
              </w:rPr>
              <w:t>，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与负责人交流：部门确定了满足与管理体系有关的客户及相关方的要求。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1.公司通过监视和评审有关相关方及其有关要求的信息，实现持续改进。如供应商管理、合同条款、组织营业执照范围内的环境职业健康安全及</w:t>
            </w:r>
            <w:r>
              <w:rPr>
                <w:rFonts w:hint="eastAsia"/>
                <w:lang w:eastAsia="zh-CN"/>
              </w:rPr>
              <w:t>食品</w:t>
            </w:r>
            <w:r>
              <w:rPr>
                <w:rFonts w:hint="eastAsia"/>
              </w:rPr>
              <w:t>的安全可靠性、服务的时效性等风险和市场开拓的机遇。</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2. 应对风险的措施：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a) 通过供应商的选择和评定来控制风险，选择供应商时考核其资质及其提供合格产品和合格服务的能力，应与客户需求相匹配。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b)通过签订客户协议和供应商协议的条款把控风险。从各个方面确保许可范围内，过程环境影响、危险源管理</w:t>
            </w:r>
            <w:r>
              <w:rPr>
                <w:rFonts w:hint="eastAsia"/>
                <w:lang w:eastAsia="zh-CN"/>
              </w:rPr>
              <w:t>、食品安全</w:t>
            </w:r>
            <w:r>
              <w:rPr>
                <w:rFonts w:hint="eastAsia"/>
              </w:rPr>
              <w:t>等，提高客户满意度，同时对风险加以控制。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3.识别进行经营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4.通过对执照范围内的风险控制和销售环保、交付等风险控制，在具体操作过程中实施的措施，实现了对整个供应链管理的风险控制，为客户提供更全面的许可范围内的服务。</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1350"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Q</w:t>
            </w:r>
            <w:r>
              <w:rPr>
                <w:rFonts w:hint="eastAsia" w:ascii="宋体" w:hAnsi="宋体" w:cs="宋体"/>
                <w:szCs w:val="21"/>
              </w:rPr>
              <w:t>EO</w:t>
            </w:r>
            <w:r>
              <w:rPr>
                <w:rFonts w:hint="eastAsia" w:ascii="宋体" w:hAnsi="宋体" w:cs="宋体"/>
                <w:szCs w:val="21"/>
                <w:lang w:val="en-US" w:eastAsia="zh-CN"/>
              </w:rPr>
              <w:t>FH</w:t>
            </w:r>
          </w:p>
          <w:p>
            <w:pPr>
              <w:spacing w:line="280" w:lineRule="exact"/>
              <w:rPr>
                <w:rFonts w:ascii="宋体" w:hAnsi="宋体" w:cs="宋体"/>
                <w:szCs w:val="21"/>
              </w:rPr>
            </w:pPr>
            <w:r>
              <w:rPr>
                <w:rFonts w:hint="eastAsia" w:ascii="宋体" w:hAnsi="宋体" w:cs="宋体"/>
                <w:szCs w:val="21"/>
              </w:rPr>
              <w:t>5.1</w:t>
            </w:r>
          </w:p>
          <w:p>
            <w:pPr>
              <w:spacing w:line="280" w:lineRule="exact"/>
              <w:rPr>
                <w:b/>
                <w:szCs w:val="21"/>
              </w:rPr>
            </w:pPr>
          </w:p>
        </w:tc>
        <w:tc>
          <w:tcPr>
            <w:tcW w:w="9734" w:type="dxa"/>
            <w:vAlign w:val="center"/>
          </w:tcPr>
          <w:p>
            <w:pPr>
              <w:spacing w:line="280" w:lineRule="exact"/>
              <w:ind w:firstLine="420" w:firstLineChars="200"/>
            </w:pPr>
            <w:r>
              <w:rPr>
                <w:rFonts w:hint="eastAsia"/>
              </w:rPr>
              <w:t>公司负责人说主要承诺有：</w:t>
            </w:r>
          </w:p>
          <w:p>
            <w:pPr>
              <w:spacing w:line="280" w:lineRule="exact"/>
              <w:ind w:firstLine="420" w:firstLineChars="200"/>
              <w:rPr>
                <w:rFonts w:hint="eastAsia"/>
              </w:rPr>
            </w:pPr>
            <w:r>
              <w:rPr>
                <w:rFonts w:hint="eastAsia"/>
              </w:rPr>
              <w:t xml:space="preserve">a）对质量、食品安全（ISO22000:2018，HACCP）、环境、职业健康安全管理体系的有效性承担责任；  </w:t>
            </w:r>
          </w:p>
          <w:p>
            <w:pPr>
              <w:spacing w:line="280" w:lineRule="exact"/>
              <w:ind w:firstLine="420" w:firstLineChars="200"/>
              <w:rPr>
                <w:rFonts w:hint="eastAsia"/>
              </w:rPr>
            </w:pPr>
            <w:r>
              <w:rPr>
                <w:rFonts w:hint="eastAsia"/>
              </w:rPr>
              <w:t xml:space="preserve">b）确保制定质量、食品安全（ISO22000:2018，HACCP）、环境、职业健康安全管理体系的方针和目标，并与组织环境和战略方向相一致；  </w:t>
            </w:r>
          </w:p>
          <w:p>
            <w:pPr>
              <w:spacing w:line="280" w:lineRule="exact"/>
              <w:ind w:firstLine="420" w:firstLineChars="200"/>
              <w:rPr>
                <w:rFonts w:hint="eastAsia"/>
              </w:rPr>
            </w:pPr>
            <w:r>
              <w:rPr>
                <w:rFonts w:hint="eastAsia"/>
              </w:rPr>
              <w:t xml:space="preserve">c）确保质量、食品安全（ISO22000:2018，HACCP）、环境、职业健康安全管理体系要求融入与组织的业务过程；        </w:t>
            </w:r>
          </w:p>
          <w:p>
            <w:pPr>
              <w:spacing w:line="280" w:lineRule="exact"/>
              <w:ind w:firstLine="420" w:firstLineChars="200"/>
              <w:rPr>
                <w:rFonts w:hint="eastAsia"/>
              </w:rPr>
            </w:pPr>
            <w:r>
              <w:rPr>
                <w:rFonts w:hint="eastAsia"/>
              </w:rPr>
              <w:t xml:space="preserve">d）促进使用过程方法和基于风险的思维；                          </w:t>
            </w:r>
          </w:p>
          <w:p>
            <w:pPr>
              <w:spacing w:line="280" w:lineRule="exact"/>
              <w:ind w:firstLine="420" w:firstLineChars="200"/>
              <w:rPr>
                <w:rFonts w:hint="eastAsia"/>
              </w:rPr>
            </w:pPr>
            <w:r>
              <w:rPr>
                <w:rFonts w:hint="eastAsia"/>
              </w:rPr>
              <w:t xml:space="preserve">e）确保获得质量、食品安全（ISO22000:2018，HACCP）、环境、职业健康安全管理体系所需的资源；                  </w:t>
            </w:r>
          </w:p>
          <w:p>
            <w:pPr>
              <w:spacing w:line="280" w:lineRule="exact"/>
              <w:ind w:firstLine="420" w:firstLineChars="200"/>
              <w:rPr>
                <w:rFonts w:hint="eastAsia"/>
              </w:rPr>
            </w:pPr>
            <w:r>
              <w:rPr>
                <w:rFonts w:hint="eastAsia"/>
              </w:rPr>
              <w:t xml:space="preserve">f）沟通有效的质量、食品安全（ISO22000:2018，HACCP）、环境、职业健康安全管理和符合质量、食品安全（ISO22000:2018，HACCP）、环境、职业健康安全体系要求的重要性； </w:t>
            </w:r>
          </w:p>
          <w:p>
            <w:pPr>
              <w:spacing w:line="280" w:lineRule="exact"/>
              <w:ind w:firstLine="420" w:firstLineChars="200"/>
              <w:rPr>
                <w:rFonts w:hint="eastAsia"/>
              </w:rPr>
            </w:pPr>
            <w:r>
              <w:rPr>
                <w:rFonts w:hint="eastAsia"/>
              </w:rPr>
              <w:t xml:space="preserve">g）确保实现质量、食品安全（ISO22000:2018，HACCP）、环境、职业健康安全管理体系的预期结果；                  </w:t>
            </w:r>
          </w:p>
          <w:p>
            <w:pPr>
              <w:spacing w:line="280" w:lineRule="exact"/>
              <w:ind w:firstLine="420" w:firstLineChars="200"/>
              <w:rPr>
                <w:rFonts w:hint="eastAsia"/>
              </w:rPr>
            </w:pPr>
            <w:r>
              <w:rPr>
                <w:rFonts w:hint="eastAsia"/>
              </w:rPr>
              <w:t xml:space="preserve">h）促使、指导和支持员工努力提高质量、食品安全（ISO22000:2018，HACCP）、环境、职业健康安全管理体系的有效性； </w:t>
            </w:r>
          </w:p>
          <w:p>
            <w:pPr>
              <w:spacing w:line="280" w:lineRule="exact"/>
              <w:ind w:firstLine="420" w:firstLineChars="200"/>
              <w:rPr>
                <w:rFonts w:hint="eastAsia"/>
              </w:rPr>
            </w:pPr>
            <w:r>
              <w:rPr>
                <w:rFonts w:hint="eastAsia"/>
              </w:rPr>
              <w:t xml:space="preserve">i）推动改进；  </w:t>
            </w:r>
          </w:p>
          <w:p>
            <w:pPr>
              <w:spacing w:line="280" w:lineRule="exact"/>
              <w:ind w:firstLine="420" w:firstLineChars="200"/>
              <w:rPr>
                <w:rFonts w:hint="eastAsia"/>
              </w:rPr>
            </w:pPr>
            <w:r>
              <w:rPr>
                <w:rFonts w:hint="eastAsia"/>
              </w:rPr>
              <w:t>j）支持其他管理者履行其相关领域的职责；</w:t>
            </w:r>
          </w:p>
          <w:p>
            <w:pPr>
              <w:spacing w:line="280" w:lineRule="exact"/>
              <w:ind w:firstLine="420" w:firstLineChars="200"/>
              <w:rPr>
                <w:rFonts w:hint="eastAsia"/>
              </w:rPr>
            </w:pPr>
            <w:r>
              <w:rPr>
                <w:rFonts w:hint="eastAsia"/>
              </w:rPr>
              <w:t>m) 保护工作人员在进行工作作业时的保护，不因报告事件、危险源、风险和机遇而遭到报复。</w:t>
            </w:r>
          </w:p>
          <w:p>
            <w:pPr>
              <w:spacing w:line="280" w:lineRule="exact"/>
              <w:ind w:firstLine="420" w:firstLineChars="200"/>
            </w:pPr>
            <w:r>
              <w:rPr>
                <w:rFonts w:hint="eastAsia"/>
              </w:rPr>
              <w:t>公司对全体员工进行了</w:t>
            </w:r>
            <w:r>
              <w:rPr>
                <w:rFonts w:hint="eastAsia"/>
                <w:lang w:eastAsia="zh-CN"/>
              </w:rPr>
              <w:t>质量、食品安全、</w:t>
            </w:r>
            <w:r>
              <w:rPr>
                <w:rFonts w:hint="eastAsia"/>
              </w:rPr>
              <w:t>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1350" w:type="dxa"/>
          </w:tcPr>
          <w:p>
            <w:pPr>
              <w:spacing w:line="280" w:lineRule="exact"/>
              <w:rPr>
                <w:rFonts w:hint="eastAsia"/>
              </w:rPr>
            </w:pPr>
            <w:r>
              <w:rPr>
                <w:rFonts w:hint="eastAsia"/>
                <w:lang w:val="en-US" w:eastAsia="zh-CN"/>
              </w:rPr>
              <w:t>Q</w:t>
            </w:r>
            <w:r>
              <w:rPr>
                <w:rFonts w:hint="eastAsia"/>
              </w:rPr>
              <w:t>EO</w:t>
            </w:r>
            <w:r>
              <w:rPr>
                <w:rFonts w:hint="eastAsia"/>
                <w:lang w:val="en-US" w:eastAsia="zh-CN"/>
              </w:rPr>
              <w:t>FH</w:t>
            </w:r>
            <w:r>
              <w:rPr>
                <w:rFonts w:hint="eastAsia"/>
              </w:rPr>
              <w:t>5</w:t>
            </w:r>
            <w:r>
              <w:rPr>
                <w:rFonts w:hint="eastAsia"/>
                <w:lang w:val="en-US" w:eastAsia="zh-CN"/>
              </w:rPr>
              <w:t>.</w:t>
            </w:r>
            <w:r>
              <w:rPr>
                <w:rFonts w:hint="eastAsia"/>
              </w:rPr>
              <w:t>2</w:t>
            </w:r>
          </w:p>
          <w:p>
            <w:pPr>
              <w:pStyle w:val="2"/>
              <w:jc w:val="both"/>
              <w:rPr>
                <w:rFonts w:hint="default" w:eastAsia="宋体"/>
                <w:lang w:val="en-US" w:eastAsia="zh-CN"/>
              </w:rPr>
            </w:pPr>
            <w:r>
              <w:rPr>
                <w:rFonts w:hint="eastAsia" w:ascii="Times New Roman" w:hAnsi="Times New Roman" w:eastAsia="宋体" w:cs="Times New Roman"/>
                <w:spacing w:val="0"/>
                <w:kern w:val="2"/>
                <w:sz w:val="21"/>
                <w:szCs w:val="22"/>
                <w:lang w:val="en-US" w:eastAsia="zh-CN" w:bidi="ar-SA"/>
              </w:rPr>
              <w:t>H4.2</w:t>
            </w:r>
            <w:r>
              <w:rPr>
                <w:rFonts w:hint="eastAsia" w:cs="Times New Roman"/>
                <w:spacing w:val="0"/>
                <w:kern w:val="2"/>
                <w:sz w:val="21"/>
                <w:szCs w:val="22"/>
                <w:lang w:val="en-US" w:eastAsia="zh-CN" w:bidi="ar-SA"/>
              </w:rPr>
              <w:t>.</w:t>
            </w:r>
            <w:r>
              <w:rPr>
                <w:rFonts w:hint="eastAsia" w:ascii="Times New Roman" w:hAnsi="Times New Roman" w:eastAsia="宋体" w:cs="Times New Roman"/>
                <w:spacing w:val="0"/>
                <w:kern w:val="2"/>
                <w:sz w:val="21"/>
                <w:szCs w:val="22"/>
                <w:lang w:val="en-US" w:eastAsia="zh-CN" w:bidi="ar-SA"/>
              </w:rPr>
              <w:t>1</w:t>
            </w:r>
          </w:p>
        </w:tc>
        <w:tc>
          <w:tcPr>
            <w:tcW w:w="973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2" w:firstLineChars="200"/>
              <w:rPr>
                <w:rFonts w:hint="eastAsia" w:ascii="宋体" w:hAnsi="宋体" w:eastAsia="宋体" w:cs="宋体"/>
                <w:b/>
                <w:bCs/>
                <w:szCs w:val="21"/>
                <w:u w:val="single"/>
                <w:lang w:eastAsia="zh-CN"/>
              </w:rPr>
            </w:pPr>
            <w:r>
              <w:rPr>
                <w:rFonts w:hint="eastAsia" w:ascii="宋体" w:hAnsi="宋体" w:cs="宋体"/>
                <w:b/>
                <w:bCs/>
                <w:szCs w:val="21"/>
                <w:u w:val="single"/>
              </w:rPr>
              <w:t>品质卓越</w:t>
            </w:r>
            <w:r>
              <w:rPr>
                <w:rFonts w:hint="eastAsia" w:ascii="宋体" w:hAnsi="宋体" w:cs="宋体"/>
                <w:b/>
                <w:bCs/>
                <w:szCs w:val="21"/>
                <w:u w:val="single"/>
                <w:lang w:eastAsia="zh-CN"/>
              </w:rPr>
              <w:t>、</w:t>
            </w:r>
            <w:r>
              <w:rPr>
                <w:rFonts w:hint="eastAsia" w:ascii="宋体" w:hAnsi="宋体" w:cs="宋体"/>
                <w:b/>
                <w:bCs/>
                <w:szCs w:val="21"/>
                <w:u w:val="single"/>
              </w:rPr>
              <w:t>安全可靠</w:t>
            </w:r>
            <w:r>
              <w:rPr>
                <w:rFonts w:hint="eastAsia" w:ascii="宋体" w:hAnsi="宋体" w:cs="宋体"/>
                <w:b/>
                <w:bCs/>
                <w:szCs w:val="21"/>
                <w:u w:val="single"/>
                <w:lang w:eastAsia="zh-CN"/>
              </w:rPr>
              <w:t>、</w:t>
            </w:r>
            <w:r>
              <w:rPr>
                <w:rFonts w:hint="eastAsia" w:ascii="宋体" w:hAnsi="宋体" w:cs="宋体"/>
                <w:b/>
                <w:bCs/>
                <w:szCs w:val="21"/>
                <w:u w:val="single"/>
              </w:rPr>
              <w:t>持续改进</w:t>
            </w:r>
            <w:r>
              <w:rPr>
                <w:rFonts w:hint="eastAsia" w:ascii="宋体" w:hAnsi="宋体" w:cs="宋体"/>
                <w:b/>
                <w:bCs/>
                <w:szCs w:val="21"/>
                <w:u w:val="single"/>
                <w:lang w:eastAsia="zh-CN"/>
              </w:rPr>
              <w:t>、</w:t>
            </w:r>
            <w:r>
              <w:rPr>
                <w:rFonts w:hint="eastAsia" w:ascii="宋体" w:hAnsi="宋体" w:cs="宋体"/>
                <w:b/>
                <w:bCs/>
                <w:szCs w:val="21"/>
                <w:u w:val="single"/>
              </w:rPr>
              <w:t>满足要求；保护环境、预防污染；以人为本，健康至上</w:t>
            </w:r>
            <w:r>
              <w:rPr>
                <w:rFonts w:hint="eastAsia" w:ascii="宋体" w:hAnsi="宋体" w:cs="宋体"/>
                <w:b/>
                <w:bCs/>
                <w:szCs w:val="21"/>
                <w:u w:val="single"/>
                <w:lang w:eastAsia="zh-CN"/>
              </w:rPr>
              <w:t>。</w:t>
            </w:r>
          </w:p>
          <w:p>
            <w:pPr>
              <w:spacing w:line="280" w:lineRule="exact"/>
              <w:ind w:firstLine="420" w:firstLineChars="200"/>
              <w:rPr>
                <w:rFonts w:ascii="宋体" w:hAnsi="宋体" w:cs="宋体"/>
                <w:szCs w:val="21"/>
              </w:rPr>
            </w:pPr>
            <w:r>
              <w:rPr>
                <w:rFonts w:hint="eastAsia" w:ascii="宋体" w:hAnsi="宋体" w:cs="宋体"/>
                <w:szCs w:val="21"/>
              </w:rPr>
              <w:t>公司以</w:t>
            </w:r>
            <w:r>
              <w:rPr>
                <w:rFonts w:hint="eastAsia" w:ascii="宋体" w:hAnsi="宋体" w:cs="宋体"/>
                <w:szCs w:val="21"/>
                <w:lang w:eastAsia="zh-CN"/>
              </w:rPr>
              <w:t>质量、食品安全、</w:t>
            </w:r>
            <w:r>
              <w:rPr>
                <w:rFonts w:hint="eastAsia" w:ascii="宋体" w:hAnsi="宋体" w:cs="宋体"/>
                <w:szCs w:val="21"/>
              </w:rPr>
              <w:t>环境、职业健康安全标准为基础，结合公司实际特制定管理方针。方针能为制定目标提供框架，方针基本符合标准的要求。</w:t>
            </w:r>
          </w:p>
          <w:p>
            <w:pPr>
              <w:spacing w:line="280" w:lineRule="exact"/>
              <w:ind w:firstLine="420" w:firstLineChars="200"/>
              <w:rPr>
                <w:b/>
                <w:szCs w:val="21"/>
              </w:rPr>
            </w:pPr>
            <w:r>
              <w:rPr>
                <w:rFonts w:hint="eastAsia" w:ascii="宋体" w:hAnsi="宋体" w:cs="宋体"/>
                <w:szCs w:val="21"/>
                <w:lang w:eastAsia="zh-CN"/>
              </w:rPr>
              <w:t>公司</w:t>
            </w:r>
            <w:r>
              <w:rPr>
                <w:rFonts w:hint="eastAsia" w:ascii="宋体" w:hAnsi="宋体" w:cs="宋体"/>
                <w:szCs w:val="21"/>
              </w:rPr>
              <w:t>用会议、文件等手段保证管理方针为全体员工理解并落实到工作中。管理评审时对方针的持续适宜性进行了评审，有评审记录。以上管理方针通过文件、培训等形式将公司管理方针传达给所有为公司工作或代表公司的人员，相关方也可通过行政部获取公司管理方针。</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1350"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EO</w:t>
            </w:r>
            <w:r>
              <w:rPr>
                <w:rFonts w:hint="eastAsia" w:ascii="宋体" w:hAnsi="宋体" w:cs="宋体"/>
                <w:szCs w:val="21"/>
                <w:lang w:val="en-US" w:eastAsia="zh-CN"/>
              </w:rPr>
              <w:t>FH</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973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w:t>
            </w:r>
            <w:r>
              <w:rPr>
                <w:rFonts w:hint="eastAsia" w:ascii="宋体" w:hAnsi="宋体" w:cs="宋体"/>
                <w:szCs w:val="21"/>
                <w:lang w:eastAsia="zh-CN"/>
              </w:rPr>
              <w:t>餐饮制售</w:t>
            </w:r>
            <w:r>
              <w:rPr>
                <w:rFonts w:hint="eastAsia" w:ascii="宋体" w:hAnsi="宋体" w:cs="宋体"/>
                <w:szCs w:val="21"/>
              </w:rPr>
              <w:t>有关的管理、执行和验证人员规定其职责、权限及其相互关系，以实现公司管理方针和管理目标。建立、实施和保持公司管理体系所需的过程，公司设置了</w:t>
            </w:r>
            <w:r>
              <w:rPr>
                <w:rFonts w:hint="eastAsia" w:ascii="宋体" w:hAnsi="宋体" w:cs="宋体"/>
                <w:szCs w:val="21"/>
                <w:highlight w:val="none"/>
              </w:rPr>
              <w:t>总经</w:t>
            </w:r>
            <w:r>
              <w:rPr>
                <w:rFonts w:hint="eastAsia" w:ascii="宋体" w:hAnsi="宋体" w:cs="宋体"/>
                <w:szCs w:val="21"/>
                <w:highlight w:val="none"/>
                <w:lang w:eastAsia="zh-CN"/>
              </w:rPr>
              <w:t>办、产品研发部、采购管理部、财务部（含仓储部）、行政人事部、综合管理部（配送、工程、客服）、监察督导部、中央厨房，</w:t>
            </w:r>
            <w:r>
              <w:rPr>
                <w:rFonts w:hint="eastAsia" w:ascii="宋体" w:hAnsi="宋体" w:cs="宋体"/>
                <w:szCs w:val="21"/>
              </w:rPr>
              <w:t>并对各部门的职能进行了分配和规定。公司决定任命</w:t>
            </w:r>
            <w:r>
              <w:rPr>
                <w:rFonts w:hint="eastAsia" w:ascii="宋体" w:hAnsi="宋体" w:cs="宋体"/>
                <w:szCs w:val="21"/>
                <w:lang w:eastAsia="zh-CN"/>
              </w:rPr>
              <w:t>宣轩</w:t>
            </w:r>
            <w:r>
              <w:rPr>
                <w:rFonts w:hint="eastAsia" w:ascii="宋体" w:hAnsi="宋体" w:cs="宋体"/>
                <w:szCs w:val="21"/>
              </w:rPr>
              <w:t>为管理体系的管理者代表兼食品安全小组组长对其职责和权限规定如下：</w:t>
            </w:r>
          </w:p>
          <w:p>
            <w:pPr>
              <w:spacing w:line="280" w:lineRule="exact"/>
              <w:ind w:firstLine="420" w:firstLineChars="200"/>
              <w:rPr>
                <w:rFonts w:hint="eastAsia" w:ascii="宋体" w:hAnsi="宋体" w:cs="宋体"/>
                <w:szCs w:val="21"/>
              </w:rPr>
            </w:pPr>
            <w:r>
              <w:rPr>
                <w:rFonts w:hint="eastAsia" w:ascii="宋体" w:hAnsi="宋体" w:cs="宋体"/>
                <w:szCs w:val="21"/>
              </w:rPr>
              <w:t>确保管理体系的过程得到建立和保持；向最高管理者报管理体系的业绩，包括改进的需求；在整个组织内促进</w:t>
            </w:r>
            <w:r>
              <w:rPr>
                <w:rFonts w:hint="eastAsia" w:ascii="宋体" w:hAnsi="宋体" w:cs="宋体"/>
                <w:szCs w:val="21"/>
                <w:lang w:eastAsia="zh-CN"/>
              </w:rPr>
              <w:t>体系</w:t>
            </w:r>
            <w:r>
              <w:rPr>
                <w:rFonts w:hint="eastAsia" w:ascii="宋体" w:hAnsi="宋体" w:cs="宋体"/>
                <w:szCs w:val="21"/>
              </w:rPr>
              <w:t>及顾客要求意识的形成；就管理体系有关事宜对外联络；确保与</w:t>
            </w:r>
            <w:r>
              <w:rPr>
                <w:rFonts w:hint="eastAsia" w:ascii="宋体" w:hAnsi="宋体" w:cs="宋体"/>
                <w:szCs w:val="21"/>
                <w:lang w:eastAsia="zh-CN"/>
              </w:rPr>
              <w:t>体系</w:t>
            </w:r>
            <w:r>
              <w:rPr>
                <w:rFonts w:hint="eastAsia" w:ascii="宋体" w:hAnsi="宋体" w:cs="宋体"/>
                <w:szCs w:val="21"/>
              </w:rPr>
              <w:t>相关人员的培训和教育；确保建立、实施、保持和更新管理体系。；策划和组织小组活动，并通过文件记录小组成员的任务、职责和权限；接受所有员工有关体系的问题的汇报并采取相应的措施。确保建立、实施、保持管理体系并符合标准的要求；确保管理体系所需的过程、程序、规范、危险源和环境因素等得到识别、分析、确认、控制，确保各过程获得其预期输出，以实现管理目标；定期组织开展管理体系的内部审核活动; 向总经理报告管理体系的运行情况、业绩和任何改进的需求，以供管理评审和作为管理体系改进的基础；确保在策划和实施管理体系变更时保持其完整性；确保在整个公司内推动以顾客为关注焦点、互利供方关系、持续改进、过程方法、询征决策、领导作用、全员参与，提高员工的质量、环境保护、职业健康安全</w:t>
            </w:r>
            <w:r>
              <w:rPr>
                <w:rFonts w:hint="eastAsia" w:ascii="宋体" w:hAnsi="宋体" w:cs="宋体"/>
                <w:szCs w:val="21"/>
                <w:lang w:eastAsia="zh-CN"/>
              </w:rPr>
              <w:t>和食品安全</w:t>
            </w:r>
            <w:r>
              <w:rPr>
                <w:rFonts w:hint="eastAsia" w:ascii="宋体" w:hAnsi="宋体" w:cs="宋体"/>
                <w:szCs w:val="21"/>
              </w:rPr>
              <w:t>意识；就</w:t>
            </w:r>
            <w:r>
              <w:rPr>
                <w:rFonts w:hint="eastAsia" w:ascii="宋体" w:hAnsi="宋体" w:cs="宋体"/>
                <w:szCs w:val="21"/>
                <w:lang w:eastAsia="zh-CN"/>
              </w:rPr>
              <w:t>管</w:t>
            </w:r>
            <w:r>
              <w:rPr>
                <w:rFonts w:hint="eastAsia" w:ascii="宋体" w:hAnsi="宋体" w:cs="宋体"/>
                <w:szCs w:val="21"/>
              </w:rPr>
              <w:t>理体系有关事宜的外部联络。</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职业健康安全管理事务代表任命为蓝志刚</w:t>
            </w:r>
            <w:r>
              <w:rPr>
                <w:rFonts w:hint="eastAsia" w:ascii="宋体" w:hAnsi="宋体" w:cs="宋体"/>
                <w:szCs w:val="21"/>
                <w:lang w:eastAsia="zh-CN"/>
              </w:rPr>
              <w:t>，</w:t>
            </w:r>
            <w:r>
              <w:rPr>
                <w:rFonts w:hint="eastAsia" w:ascii="宋体" w:hAnsi="宋体" w:cs="宋体"/>
                <w:szCs w:val="21"/>
              </w:rPr>
              <w:t>宣传公司有关职业健康安全方针、政策、法规、危险源，并监督执行；参与职业健康安全有关管理工作，及时报告员工意见和建议，并跟踪落实情况；参与开展遵纪守法、事故预防等群众性活动；参与公司劳动保护和安全生产规章制度的制定、实施和修订；关心员工生活和职业健康安全的保障和改善，参与或协助安全事故的调查、分析及处理工作，督促责任部门纠正措施的实施。</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350" w:type="dxa"/>
          </w:tcPr>
          <w:p>
            <w:pPr>
              <w:spacing w:line="280" w:lineRule="exact"/>
              <w:rPr>
                <w:rFonts w:ascii="宋体"/>
                <w:szCs w:val="21"/>
              </w:rPr>
            </w:pPr>
            <w:r>
              <w:rPr>
                <w:rFonts w:hint="eastAsia" w:ascii="宋体" w:cs="宋体"/>
                <w:szCs w:val="21"/>
                <w:lang w:val="en-US" w:eastAsia="zh-CN"/>
              </w:rPr>
              <w:t>Q</w:t>
            </w:r>
            <w:r>
              <w:rPr>
                <w:rFonts w:ascii="宋体" w:cs="宋体"/>
                <w:szCs w:val="21"/>
              </w:rPr>
              <w:t>E</w:t>
            </w:r>
            <w:r>
              <w:rPr>
                <w:rFonts w:hint="eastAsia" w:ascii="宋体" w:cs="宋体"/>
                <w:szCs w:val="21"/>
                <w:lang w:val="en-US" w:eastAsia="zh-CN"/>
              </w:rPr>
              <w:t>O</w:t>
            </w:r>
            <w:r>
              <w:rPr>
                <w:rFonts w:ascii="宋体" w:cs="宋体"/>
                <w:szCs w:val="21"/>
              </w:rPr>
              <w:t>6.1.1</w:t>
            </w:r>
          </w:p>
          <w:p>
            <w:pPr>
              <w:spacing w:line="280" w:lineRule="exact"/>
              <w:rPr>
                <w:rFonts w:ascii="宋体" w:hAnsi="宋体" w:cs="宋体"/>
                <w:szCs w:val="21"/>
              </w:rPr>
            </w:pPr>
          </w:p>
        </w:tc>
        <w:tc>
          <w:tcPr>
            <w:tcW w:w="9734" w:type="dxa"/>
            <w:vAlign w:val="center"/>
          </w:tcPr>
          <w:p>
            <w:pPr>
              <w:spacing w:line="2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外部因素要考虑国际、国内、本地的各种法律法规、技术、行业竞争、市场环境、外部文化、社会因素、经济因素、政治因素、金融因素、科技因素、自然环境和市场竞争的加剧，无论是国际、国家、区域或地方；引入新的竞争对手、承包商、供应商、合作伙伴和供应商、新技术、新规律和新职业的出现等方面。</w:t>
            </w:r>
          </w:p>
          <w:p>
            <w:pPr>
              <w:spacing w:line="280" w:lineRule="exact"/>
              <w:ind w:firstLine="420" w:firstLineChars="200"/>
              <w:rPr>
                <w:rFonts w:hint="eastAsia" w:ascii="宋体" w:hAnsi="宋体" w:cs="宋体"/>
                <w:szCs w:val="21"/>
              </w:rPr>
            </w:pPr>
            <w:r>
              <w:rPr>
                <w:rFonts w:hint="eastAsia" w:ascii="宋体" w:hAnsi="宋体" w:cs="宋体"/>
                <w:szCs w:val="21"/>
              </w:rPr>
              <w:t>2.内部环境因素要考虑公司的内部管理、价值观、企业文化、企业的知识、管理绩效、战略方向、管理、组织架构、职责和权限、获得的资源、知识与能力（即：资本、时间、人力资源、流程、系统和技术）、正式或非正式的信息、合同关系的形式和范围（包括外包活动）等方面。</w:t>
            </w:r>
          </w:p>
          <w:p>
            <w:pPr>
              <w:spacing w:line="280" w:lineRule="exact"/>
              <w:ind w:firstLine="420" w:firstLineChars="200"/>
              <w:rPr>
                <w:rFonts w:hint="eastAsia" w:ascii="宋体" w:hAnsi="宋体" w:cs="宋体"/>
                <w:szCs w:val="21"/>
              </w:rPr>
            </w:pPr>
            <w:r>
              <w:rPr>
                <w:rFonts w:hint="eastAsia" w:ascii="宋体" w:hAnsi="宋体" w:cs="宋体"/>
                <w:szCs w:val="21"/>
              </w:rPr>
              <w:t>3.在策划管理体系时考虑了风险和机遇以及相应的应对措施，制定了《风险管理控制程序》，明确风险和机遇事件的识别方法/途径、风险和机遇事件的评估方式、制定主要风险和机遇事件的应对措施的要求、评价这些措施有效性的方法。将需要应对的风险和机遇进行风险分析确定风险级别（</w:t>
            </w:r>
            <w:r>
              <w:rPr>
                <w:rFonts w:hint="eastAsia" w:ascii="宋体" w:hAnsi="宋体" w:cs="宋体"/>
                <w:szCs w:val="21"/>
                <w:lang w:eastAsia="zh-CN"/>
              </w:rPr>
              <w:t>一到四级</w:t>
            </w:r>
            <w:r>
              <w:rPr>
                <w:rFonts w:hint="eastAsia" w:ascii="宋体" w:hAnsi="宋体" w:cs="宋体"/>
                <w:szCs w:val="21"/>
              </w:rPr>
              <w:t>），在管理体系所确定的过程（</w:t>
            </w:r>
            <w:r>
              <w:rPr>
                <w:rFonts w:hint="eastAsia" w:ascii="宋体" w:hAnsi="宋体" w:cs="宋体"/>
                <w:color w:val="000000"/>
                <w:kern w:val="0"/>
                <w:sz w:val="21"/>
                <w:szCs w:val="21"/>
                <w:lang w:bidi="ar"/>
              </w:rPr>
              <w:t>客户的需求</w:t>
            </w:r>
            <w:r>
              <w:rPr>
                <w:rFonts w:hint="eastAsia" w:ascii="宋体" w:hAnsi="宋体" w:cs="宋体"/>
                <w:szCs w:val="21"/>
              </w:rPr>
              <w:t>、供应商的要求等）中，整合制定针对性管理措施（如程序控制等）。</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提供了《风险管理控制程序》</w:t>
            </w:r>
            <w:r>
              <w:rPr>
                <w:rFonts w:hint="eastAsia" w:ascii="宋体" w:hAnsi="宋体" w:cs="宋体"/>
                <w:szCs w:val="21"/>
              </w:rPr>
              <w:t>，</w:t>
            </w:r>
            <w:r>
              <w:rPr>
                <w:rFonts w:hint="eastAsia" w:ascii="宋体" w:hAnsi="宋体" w:cs="宋体"/>
                <w:szCs w:val="21"/>
                <w:lang w:eastAsia="zh-CN"/>
              </w:rPr>
              <w:t>针对</w:t>
            </w:r>
            <w:r>
              <w:rPr>
                <w:rFonts w:hint="eastAsia" w:ascii="宋体" w:hAnsi="宋体" w:cs="宋体"/>
                <w:szCs w:val="21"/>
              </w:rPr>
              <w:t>客户的需求</w:t>
            </w:r>
            <w:r>
              <w:rPr>
                <w:rFonts w:hint="eastAsia" w:ascii="宋体" w:hAnsi="宋体" w:cs="宋体"/>
                <w:szCs w:val="21"/>
                <w:lang w:eastAsia="zh-CN"/>
              </w:rPr>
              <w:t>，</w:t>
            </w:r>
            <w:r>
              <w:rPr>
                <w:rFonts w:hint="eastAsia" w:ascii="宋体" w:hAnsi="宋体" w:cs="宋体"/>
                <w:szCs w:val="21"/>
              </w:rPr>
              <w:t>风险：客户对产品和服务要求的期望值提升，给公司管理提出新要求。机遇：市场竞争的加剧，公司管理水平的提升，会给公司带来潜在的发展机遇。</w:t>
            </w:r>
            <w:r>
              <w:rPr>
                <w:rFonts w:hint="eastAsia" w:ascii="宋体" w:hAnsi="宋体" w:cs="宋体"/>
                <w:szCs w:val="21"/>
                <w:lang w:eastAsia="zh-CN"/>
              </w:rPr>
              <w:t>风险等级为</w:t>
            </w:r>
            <w:r>
              <w:rPr>
                <w:rFonts w:hint="eastAsia" w:ascii="宋体" w:hAnsi="宋体" w:cs="宋体"/>
                <w:szCs w:val="21"/>
                <w:lang w:val="en-US" w:eastAsia="zh-CN"/>
              </w:rPr>
              <w:t>3级，控制措施：</w:t>
            </w:r>
            <w:r>
              <w:rPr>
                <w:rFonts w:hint="eastAsia" w:ascii="宋体" w:hAnsi="宋体" w:cs="宋体"/>
                <w:szCs w:val="21"/>
              </w:rPr>
              <w:t>加强与客户沟通，统一双方对热食制售和餐饮管理服务的标准和要求；加大客户交流沟通，及时传递和处理客户的需求和意见</w:t>
            </w:r>
            <w:r>
              <w:rPr>
                <w:rFonts w:hint="eastAsia" w:ascii="宋体" w:hAnsi="宋体" w:cs="宋体"/>
                <w:szCs w:val="21"/>
                <w:lang w:eastAsia="zh-CN"/>
              </w:rPr>
              <w:t>。</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spacing w:line="280" w:lineRule="exact"/>
              <w:rPr>
                <w:rFonts w:ascii="宋体" w:hAnsi="宋体" w:cs="宋体"/>
                <w:szCs w:val="21"/>
              </w:rPr>
            </w:pPr>
            <w:r>
              <w:rPr>
                <w:rFonts w:hint="eastAsia" w:ascii="宋体" w:hAnsi="宋体" w:cs="宋体"/>
                <w:szCs w:val="21"/>
              </w:rPr>
              <w:t>环境因素识别、危险源识别</w:t>
            </w:r>
          </w:p>
        </w:tc>
        <w:tc>
          <w:tcPr>
            <w:tcW w:w="135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9734" w:type="dxa"/>
            <w:vAlign w:val="center"/>
          </w:tcPr>
          <w:p>
            <w:pPr>
              <w:spacing w:line="280" w:lineRule="exact"/>
              <w:ind w:firstLine="420" w:firstLineChars="200"/>
            </w:pPr>
            <w:r>
              <w:rPr>
                <w:rFonts w:hint="eastAsia"/>
              </w:rPr>
              <w:t>公司编制了《环境因素和危险源辨识、评价和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pPr>
            <w:r>
              <w:rPr>
                <w:rFonts w:hint="eastAsia"/>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pPr>
            <w:r>
              <w:rPr>
                <w:rFonts w:hint="eastAsia"/>
              </w:rPr>
              <w:t xml:space="preserve">    公司根据风险情况，及时通过会议、文件等方式各层次和职能间沟通重要环境因素和重大危险源。</w:t>
            </w:r>
          </w:p>
          <w:p>
            <w:pPr>
              <w:spacing w:line="280" w:lineRule="exact"/>
            </w:pPr>
            <w:r>
              <w:rPr>
                <w:rFonts w:hint="eastAsia"/>
              </w:rPr>
              <w:t xml:space="preserve">    公司保持了以下内容的文件化信息：</w:t>
            </w:r>
          </w:p>
          <w:p>
            <w:pPr>
              <w:spacing w:line="280" w:lineRule="exact"/>
            </w:pPr>
            <w:r>
              <w:rPr>
                <w:rFonts w:hint="eastAsia"/>
              </w:rPr>
              <w:t xml:space="preserve">      a）环境因素、危险源及相关环境、职业健康安全影响；</w:t>
            </w:r>
          </w:p>
          <w:p>
            <w:pPr>
              <w:spacing w:line="280" w:lineRule="exact"/>
            </w:pPr>
            <w:r>
              <w:rPr>
                <w:rFonts w:hint="eastAsia"/>
              </w:rPr>
              <w:t xml:space="preserve">      b）用于确定其重要环境因素和重大危险源的准则；</w:t>
            </w:r>
          </w:p>
          <w:p>
            <w:pPr>
              <w:spacing w:line="280" w:lineRule="exact"/>
              <w:rPr>
                <w:rFonts w:hint="eastAsia" w:eastAsia="宋体"/>
                <w:lang w:eastAsia="zh-CN"/>
              </w:rPr>
            </w:pPr>
            <w:r>
              <w:rPr>
                <w:rFonts w:hint="eastAsia"/>
              </w:rPr>
              <w:t xml:space="preserve">      c）重要环境因素和</w:t>
            </w:r>
            <w:r>
              <w:rPr>
                <w:rFonts w:hint="eastAsia"/>
                <w:lang w:eastAsia="zh-CN"/>
              </w:rPr>
              <w:t>不可接受风险</w:t>
            </w:r>
            <w:r>
              <w:rPr>
                <w:rFonts w:hint="eastAsia"/>
              </w:rPr>
              <w:t>。</w:t>
            </w:r>
          </w:p>
          <w:p>
            <w:pPr>
              <w:spacing w:line="280" w:lineRule="exact"/>
              <w:ind w:firstLine="420" w:firstLineChars="200"/>
            </w:pPr>
            <w:r>
              <w:rPr>
                <w:rFonts w:hint="eastAsia"/>
              </w:rPr>
              <w:t>当过程中的活动或服务发生较大变化以及法律及其他要求更新时，应及时对环境因素、危险源进行补充识别，评价并确定重要环境因素，重大风险危险源，并及时更新。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pPr>
            <w:r>
              <w:rPr>
                <w:rFonts w:hint="eastAsia"/>
              </w:rPr>
              <w:t>组织所识别的环境因素和危险源基本覆盖到公司</w:t>
            </w:r>
            <w:r>
              <w:rPr>
                <w:rFonts w:hint="eastAsia"/>
                <w:sz w:val="21"/>
                <w:szCs w:val="21"/>
              </w:rPr>
              <w:t>餐饮服务</w:t>
            </w:r>
            <w:r>
              <w:rPr>
                <w:rFonts w:hint="eastAsia"/>
              </w:rPr>
              <w:t>的环境和职业健康安全管理活动，确定的重要环境因素主要有毒有害废弃物的废弃</w:t>
            </w:r>
            <w:r>
              <w:rPr>
                <w:rFonts w:hint="eastAsia"/>
                <w:lang w:val="en-US" w:eastAsia="zh-CN"/>
              </w:rPr>
              <w:t>、</w:t>
            </w:r>
            <w:r>
              <w:rPr>
                <w:rFonts w:hint="eastAsia"/>
              </w:rPr>
              <w:t>火灾的发生</w:t>
            </w:r>
            <w:r>
              <w:rPr>
                <w:rFonts w:hint="eastAsia"/>
                <w:lang w:val="en-US" w:eastAsia="zh-CN"/>
              </w:rPr>
              <w:t>、</w:t>
            </w:r>
            <w:r>
              <w:rPr>
                <w:rFonts w:hint="eastAsia"/>
              </w:rPr>
              <w:t>废水排放</w:t>
            </w:r>
            <w:r>
              <w:rPr>
                <w:rFonts w:hint="eastAsia"/>
                <w:lang w:eastAsia="zh-CN"/>
              </w:rPr>
              <w:t>、</w:t>
            </w:r>
            <w:r>
              <w:rPr>
                <w:rFonts w:hint="eastAsia"/>
              </w:rPr>
              <w:t>废气排放等，识别的</w:t>
            </w:r>
            <w:r>
              <w:rPr>
                <w:rFonts w:hint="eastAsia"/>
                <w:lang w:eastAsia="zh-CN"/>
              </w:rPr>
              <w:t>不可接受风险</w:t>
            </w:r>
            <w:r>
              <w:rPr>
                <w:rFonts w:hint="eastAsia"/>
              </w:rPr>
              <w:t>主要火灾</w:t>
            </w:r>
            <w:r>
              <w:rPr>
                <w:rFonts w:hint="eastAsia"/>
                <w:lang w:eastAsia="zh-CN"/>
              </w:rPr>
              <w:t>、</w:t>
            </w:r>
            <w:r>
              <w:rPr>
                <w:rFonts w:hint="eastAsia"/>
              </w:rPr>
              <w:t>车辆伤害</w:t>
            </w:r>
            <w:r>
              <w:rPr>
                <w:rFonts w:hint="eastAsia"/>
                <w:lang w:eastAsia="zh-CN"/>
              </w:rPr>
              <w:t>、</w:t>
            </w:r>
            <w:r>
              <w:rPr>
                <w:rFonts w:hint="eastAsia"/>
              </w:rPr>
              <w:t>冻伤</w:t>
            </w:r>
            <w:r>
              <w:rPr>
                <w:rFonts w:hint="eastAsia"/>
                <w:lang w:eastAsia="zh-CN"/>
              </w:rPr>
              <w:t>、</w:t>
            </w:r>
            <w:r>
              <w:rPr>
                <w:rFonts w:hint="eastAsia"/>
              </w:rPr>
              <w:t>人身伤亡</w:t>
            </w: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火灾、爆炸等，具体识别和控制情况见各部门的审核记录。</w:t>
            </w:r>
          </w:p>
          <w:p>
            <w:pPr>
              <w:spacing w:line="280" w:lineRule="exact"/>
              <w:ind w:firstLine="420" w:firstLineChars="200"/>
              <w:rPr>
                <w:rFonts w:hint="eastAsia" w:eastAsia="宋体"/>
                <w:lang w:eastAsia="zh-CN"/>
              </w:rPr>
            </w:pPr>
            <w:r>
              <w:rPr>
                <w:rFonts w:hint="eastAsia"/>
              </w:rPr>
              <w:t>各部门具体环境因素和危险源的识别和控制见各部门的审核记录。</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1350"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9734" w:type="dxa"/>
            <w:vAlign w:val="center"/>
          </w:tcPr>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公司编制了《法律法规和其他要求识别和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法律法规及其他要求清单》</w:t>
            </w:r>
            <w:r>
              <w:rPr>
                <w:rFonts w:hint="eastAsia" w:ascii="宋体" w:hAnsi="宋体" w:cs="宋体"/>
                <w:szCs w:val="21"/>
                <w:lang w:eastAsia="zh-CN"/>
              </w:rPr>
              <w:t>、《食品安全标准清单》</w:t>
            </w:r>
            <w:r>
              <w:rPr>
                <w:rFonts w:hint="eastAsia" w:ascii="宋体" w:hAnsi="宋体" w:cs="宋体"/>
                <w:szCs w:val="21"/>
              </w:rPr>
              <w:t>，基本涵盖所涉及的各相关方。明确了对应的公司活动，对适用性、合规性等进行了评价，如饮食业油烟排放标准</w:t>
            </w:r>
            <w:r>
              <w:rPr>
                <w:rFonts w:hint="eastAsia" w:ascii="宋体" w:hAnsi="宋体" w:cs="宋体"/>
                <w:szCs w:val="21"/>
                <w:lang w:eastAsia="zh-CN"/>
              </w:rPr>
              <w:t>、浙江省固体废物污染环境防治条例等</w:t>
            </w:r>
            <w:r>
              <w:rPr>
                <w:rFonts w:hint="eastAsia" w:ascii="宋体" w:hAnsi="宋体" w:cs="宋体"/>
                <w:szCs w:val="21"/>
              </w:rPr>
              <w:t>，明确了适用的公司活动为</w:t>
            </w:r>
            <w:r>
              <w:rPr>
                <w:rFonts w:hint="eastAsia" w:ascii="宋体" w:hAnsi="宋体" w:cs="宋体"/>
                <w:szCs w:val="21"/>
                <w:lang w:eastAsia="zh-CN"/>
              </w:rPr>
              <w:t>油脂排放、固废</w:t>
            </w:r>
            <w:r>
              <w:rPr>
                <w:rFonts w:hint="eastAsia" w:ascii="宋体" w:hAnsi="宋体" w:cs="宋体"/>
                <w:szCs w:val="21"/>
              </w:rPr>
              <w:t>等过程，评价结果为符合要求。</w:t>
            </w:r>
            <w:r>
              <w:rPr>
                <w:rFonts w:hint="eastAsia" w:ascii="宋体" w:hAnsi="宋体" w:cs="宋体"/>
                <w:szCs w:val="21"/>
                <w:lang w:eastAsia="zh-CN"/>
              </w:rPr>
              <w:t>提供了</w:t>
            </w:r>
            <w:r>
              <w:rPr>
                <w:rFonts w:hint="eastAsia" w:ascii="宋体" w:hAnsi="宋体" w:cs="宋体"/>
                <w:szCs w:val="21"/>
              </w:rPr>
              <w:t>法律法规及其他要求符合性评价表</w:t>
            </w:r>
            <w:r>
              <w:rPr>
                <w:rFonts w:hint="eastAsia" w:ascii="宋体" w:hAnsi="宋体" w:cs="宋体"/>
                <w:szCs w:val="21"/>
                <w:lang w:eastAsia="zh-CN"/>
              </w:rPr>
              <w:t>，对法律法规的适用条款对应的因素、现阶段执行情况进行了评价，基本符合要求。</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04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350"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9734" w:type="dxa"/>
            <w:vAlign w:val="center"/>
          </w:tcPr>
          <w:p>
            <w:pPr>
              <w:spacing w:line="280" w:lineRule="exact"/>
              <w:ind w:firstLine="420" w:firstLineChars="200"/>
              <w:rPr>
                <w:rFonts w:hint="eastAsia" w:ascii="宋体" w:hAnsi="宋体" w:eastAsia="宋体" w:cs="宋体"/>
                <w:szCs w:val="21"/>
                <w:lang w:eastAsia="zh-CN"/>
              </w:rPr>
            </w:pPr>
            <w:r>
              <w:rPr>
                <w:rFonts w:hint="eastAsia" w:ascii="宋体" w:hAnsi="宋体" w:cs="宋体"/>
                <w:kern w:val="0"/>
                <w:szCs w:val="21"/>
              </w:rPr>
              <w:t>在制定环境和职业健康安全目标指标时，</w:t>
            </w:r>
            <w:r>
              <w:rPr>
                <w:rFonts w:hint="eastAsia" w:ascii="宋体" w:hAnsi="宋体" w:cs="宋体"/>
                <w:szCs w:val="21"/>
                <w:highlight w:val="none"/>
                <w:lang w:eastAsia="zh-CN"/>
              </w:rPr>
              <w:t>管理层总经办</w:t>
            </w:r>
            <w:r>
              <w:rPr>
                <w:rFonts w:hint="eastAsia" w:ascii="宋体" w:hAnsi="宋体" w:cs="宋体"/>
                <w:szCs w:val="21"/>
              </w:rPr>
              <w:t>负责制定环境、职业健康安全目标及管理方案。环境、职业健康安全管理方案中明确为实现环境、职业健康安全目标和指标的责任部门；规定实现环境、职业健康安全目标和指标的时间。管理者代表每季度至少一次“环境职业健康安全目标指标管理方案”的实施情况监测；在管理评审</w:t>
            </w:r>
            <w:r>
              <w:rPr>
                <w:rFonts w:hint="eastAsia" w:ascii="宋体" w:hAnsi="宋体" w:cs="宋体"/>
                <w:szCs w:val="21"/>
                <w:lang w:eastAsia="zh-CN"/>
              </w:rPr>
              <w:t>时对目标管理方案进行评审。</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40"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变更的策划</w:t>
            </w:r>
          </w:p>
        </w:tc>
        <w:tc>
          <w:tcPr>
            <w:tcW w:w="1350" w:type="dxa"/>
          </w:tcPr>
          <w:p>
            <w:pPr>
              <w:spacing w:line="280" w:lineRule="exact"/>
              <w:rPr>
                <w:rFonts w:hint="default" w:eastAsia="宋体"/>
                <w:szCs w:val="21"/>
                <w:lang w:val="en-US" w:eastAsia="zh-CN"/>
              </w:rPr>
            </w:pPr>
            <w:r>
              <w:rPr>
                <w:rFonts w:hint="eastAsia"/>
                <w:szCs w:val="21"/>
                <w:lang w:val="en-US" w:eastAsia="zh-CN"/>
              </w:rPr>
              <w:t>QF6.3</w:t>
            </w:r>
          </w:p>
        </w:tc>
        <w:tc>
          <w:tcPr>
            <w:tcW w:w="9734" w:type="dxa"/>
            <w:vAlign w:val="center"/>
          </w:tcPr>
          <w:p>
            <w:pPr>
              <w:spacing w:line="28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lang w:eastAsia="zh-CN"/>
              </w:rPr>
              <w:t>在体系施行期间，未进行变更。</w:t>
            </w:r>
          </w:p>
        </w:tc>
        <w:tc>
          <w:tcPr>
            <w:tcW w:w="1585" w:type="dxa"/>
          </w:tcPr>
          <w:p>
            <w:pPr>
              <w:rPr>
                <w:rFonts w:hint="eastAsia" w:eastAsia="宋体"/>
                <w:lang w:val="en-US" w:eastAsia="zh-CN"/>
              </w:rPr>
            </w:pPr>
            <w:r>
              <w:rPr/>
              <w:sym w:font="Wingdings" w:char="00FE"/>
            </w:r>
            <w:r>
              <w:rPr>
                <w:rFonts w:hint="eastAsia"/>
                <w:lang w:val="en-US" w:eastAsia="zh-CN"/>
              </w:rPr>
              <w:t>符合</w:t>
            </w:r>
          </w:p>
          <w:p>
            <w:pPr>
              <w:rPr>
                <w:rFonts w:hint="eastAsia" w:eastAsia="宋体"/>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350" w:type="dxa"/>
          </w:tcPr>
          <w:p>
            <w:pPr>
              <w:spacing w:line="280" w:lineRule="exact"/>
              <w:rPr>
                <w:szCs w:val="21"/>
              </w:rPr>
            </w:pPr>
            <w:r>
              <w:rPr>
                <w:rFonts w:hint="eastAsia"/>
                <w:szCs w:val="21"/>
                <w:lang w:val="en-US" w:eastAsia="zh-CN"/>
              </w:rPr>
              <w:t>Q</w:t>
            </w:r>
            <w:r>
              <w:rPr>
                <w:rFonts w:hint="eastAsia"/>
                <w:szCs w:val="21"/>
              </w:rPr>
              <w:t>EO</w:t>
            </w:r>
            <w:r>
              <w:rPr>
                <w:rFonts w:hint="eastAsia"/>
                <w:szCs w:val="21"/>
                <w:lang w:val="en-US" w:eastAsia="zh-CN"/>
              </w:rPr>
              <w:t>F</w:t>
            </w:r>
            <w:r>
              <w:rPr>
                <w:rFonts w:hint="eastAsia"/>
                <w:szCs w:val="21"/>
              </w:rPr>
              <w:t>6.2</w:t>
            </w:r>
          </w:p>
        </w:tc>
        <w:tc>
          <w:tcPr>
            <w:tcW w:w="973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公司目标及实现情况是：</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1.顾客满意</w:t>
            </w:r>
            <w:r>
              <w:rPr>
                <w:rFonts w:hint="eastAsia" w:ascii="宋体" w:hAnsi="宋体" w:cs="宋体"/>
                <w:szCs w:val="21"/>
                <w:highlight w:val="none"/>
                <w:lang w:val="en-US" w:eastAsia="zh-CN"/>
              </w:rPr>
              <w:t>9</w:t>
            </w:r>
            <w:r>
              <w:rPr>
                <w:rFonts w:hint="eastAsia" w:ascii="宋体" w:hAnsi="宋体" w:cs="宋体"/>
                <w:szCs w:val="21"/>
                <w:highlight w:val="none"/>
              </w:rPr>
              <w:t>0%以上</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2.全年不发生重大食品安全事故</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3.确保HACCP计划得到有效执行</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4.实现公司202</w:t>
            </w:r>
            <w:r>
              <w:rPr>
                <w:rFonts w:hint="eastAsia" w:ascii="宋体" w:hAnsi="宋体" w:cs="宋体"/>
                <w:szCs w:val="21"/>
                <w:highlight w:val="none"/>
                <w:lang w:val="en-US" w:eastAsia="zh-CN"/>
              </w:rPr>
              <w:t>1</w:t>
            </w:r>
            <w:r>
              <w:rPr>
                <w:rFonts w:hint="eastAsia" w:ascii="宋体" w:hAnsi="宋体" w:cs="宋体"/>
                <w:szCs w:val="21"/>
                <w:highlight w:val="none"/>
              </w:rPr>
              <w:t>年的经营目标</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5.废水/废气达标排放</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6.废弃物分类收集处理率100%</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7.火灾发生率为0</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8.重伤、死亡事故为0</w:t>
            </w:r>
            <w:r>
              <w:rPr>
                <w:rFonts w:hint="eastAsia" w:ascii="宋体" w:hAnsi="宋体" w:cs="宋体"/>
                <w:szCs w:val="21"/>
                <w:highlight w:val="none"/>
                <w:lang w:eastAsia="zh-CN"/>
              </w:rPr>
              <w:t>；</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r>
              <w:rPr>
                <w:rFonts w:hint="eastAsia" w:ascii="宋体" w:hAnsi="宋体" w:cs="宋体"/>
                <w:szCs w:val="21"/>
                <w:highlight w:val="none"/>
              </w:rPr>
              <w:t>鉴定为轻伤事故每年不超过3起</w:t>
            </w:r>
            <w:r>
              <w:rPr>
                <w:rFonts w:hint="eastAsia" w:ascii="宋体" w:hAnsi="宋体" w:cs="宋体"/>
                <w:szCs w:val="21"/>
                <w:highlight w:val="none"/>
                <w:lang w:eastAsia="zh-CN"/>
              </w:rPr>
              <w:t>。</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查到公司2021第1季度完成情况统计情况，各项目标均已完成，编制人</w:t>
            </w:r>
            <w:r>
              <w:rPr>
                <w:rFonts w:hint="eastAsia"/>
              </w:rPr>
              <w:t>冯志伟</w:t>
            </w:r>
            <w:r>
              <w:rPr>
                <w:rFonts w:hint="eastAsia" w:ascii="宋体" w:hAnsi="宋体" w:cs="宋体"/>
                <w:szCs w:val="21"/>
              </w:rPr>
              <w:t>，审批人</w:t>
            </w:r>
            <w:r>
              <w:rPr>
                <w:rFonts w:hint="eastAsia" w:ascii="宋体" w:hAnsi="宋体" w:cs="宋体"/>
                <w:szCs w:val="21"/>
                <w:lang w:eastAsia="zh-CN"/>
              </w:rPr>
              <w:t>宣轩</w:t>
            </w:r>
            <w:r>
              <w:rPr>
                <w:rFonts w:hint="eastAsia" w:ascii="宋体" w:hAnsi="宋体" w:cs="宋体"/>
                <w:szCs w:val="21"/>
              </w:rPr>
              <w:t>。针对重要环境因素制订了管理方案并予以实施，基本有效，详见审核各部门审核记录。</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40" w:type="dxa"/>
          </w:tcPr>
          <w:p>
            <w:pPr>
              <w:spacing w:line="280" w:lineRule="exact"/>
              <w:rPr>
                <w:rFonts w:ascii="宋体" w:hAnsi="宋体" w:cs="宋体"/>
                <w:szCs w:val="21"/>
              </w:rPr>
            </w:pPr>
            <w:r>
              <w:rPr>
                <w:rFonts w:hint="eastAsia" w:ascii="宋体" w:hAnsi="宋体" w:cs="宋体"/>
                <w:szCs w:val="21"/>
              </w:rPr>
              <w:t>资源、总则</w:t>
            </w:r>
          </w:p>
        </w:tc>
        <w:tc>
          <w:tcPr>
            <w:tcW w:w="1350" w:type="dxa"/>
          </w:tcPr>
          <w:p>
            <w:pPr>
              <w:spacing w:line="280" w:lineRule="exact"/>
              <w:rPr>
                <w:rFonts w:hint="eastAsia"/>
              </w:rPr>
            </w:pPr>
            <w:r>
              <w:rPr>
                <w:rFonts w:hint="eastAsia"/>
                <w:lang w:val="en-US" w:eastAsia="zh-CN"/>
              </w:rPr>
              <w:t>Q</w:t>
            </w:r>
            <w:r>
              <w:rPr>
                <w:rFonts w:hint="eastAsia"/>
              </w:rPr>
              <w:t>E</w:t>
            </w:r>
            <w:r>
              <w:t>O</w:t>
            </w:r>
            <w:r>
              <w:rPr>
                <w:rFonts w:hint="eastAsia"/>
                <w:lang w:val="en-US" w:eastAsia="zh-CN"/>
              </w:rPr>
              <w:t>F</w:t>
            </w:r>
            <w:r>
              <w:rPr>
                <w:rFonts w:hint="eastAsia"/>
              </w:rPr>
              <w:t>7.1</w:t>
            </w:r>
          </w:p>
          <w:p>
            <w:pPr>
              <w:spacing w:line="280" w:lineRule="exact"/>
            </w:pPr>
            <w:r>
              <w:rPr>
                <w:rFonts w:hint="eastAsia"/>
                <w:lang w:val="en-US" w:eastAsia="zh-CN"/>
              </w:rPr>
              <w:t xml:space="preserve">F6 </w:t>
            </w:r>
            <w:r>
              <w:rPr>
                <w:rFonts w:hint="eastAsia" w:cs="Times New Roman"/>
                <w:spacing w:val="0"/>
                <w:kern w:val="2"/>
                <w:sz w:val="21"/>
                <w:szCs w:val="22"/>
                <w:lang w:val="en-US" w:eastAsia="zh-CN" w:bidi="ar-SA"/>
              </w:rPr>
              <w:t>F</w:t>
            </w:r>
            <w:r>
              <w:rPr>
                <w:rFonts w:hint="eastAsia" w:ascii="Times New Roman" w:hAnsi="Times New Roman" w:eastAsia="宋体" w:cs="Times New Roman"/>
                <w:spacing w:val="0"/>
                <w:kern w:val="2"/>
                <w:sz w:val="21"/>
                <w:szCs w:val="22"/>
                <w:lang w:val="en-US" w:eastAsia="zh-CN" w:bidi="ar-SA"/>
              </w:rPr>
              <w:t>.6.1</w:t>
            </w:r>
          </w:p>
        </w:tc>
        <w:tc>
          <w:tcPr>
            <w:tcW w:w="9734" w:type="dxa"/>
            <w:vAlign w:val="center"/>
          </w:tcPr>
          <w:p>
            <w:pPr>
              <w:spacing w:line="280" w:lineRule="exact"/>
              <w:ind w:firstLine="420" w:firstLineChars="200"/>
            </w:pPr>
            <w:r>
              <w:rPr>
                <w:rFonts w:hint="eastAsia"/>
              </w:rPr>
              <w:t>查公司配备了必要的人力资源，基础设施(办公场所、办公用品</w:t>
            </w:r>
            <w:r>
              <w:rPr>
                <w:rFonts w:hint="eastAsia"/>
                <w:lang w:eastAsia="zh-CN"/>
              </w:rPr>
              <w:t>、冷冻柜、冷藏柜，洗碗机、切菜机</w:t>
            </w:r>
            <w:r>
              <w:rPr>
                <w:rFonts w:hint="eastAsia"/>
              </w:rPr>
              <w:t>等)，规范文件、资金等必要的资源，</w:t>
            </w:r>
            <w:r>
              <w:rPr>
                <w:rFonts w:hint="eastAsia"/>
                <w:lang w:eastAsia="zh-CN"/>
              </w:rPr>
              <w:t>公司</w:t>
            </w:r>
            <w:r>
              <w:rPr>
                <w:rFonts w:hint="eastAsia" w:ascii="宋体" w:hAnsi="宋体" w:cs="宋体"/>
                <w:szCs w:val="21"/>
                <w:lang w:eastAsia="zh-CN"/>
              </w:rPr>
              <w:t>占地面积</w:t>
            </w:r>
            <w:r>
              <w:rPr>
                <w:rFonts w:hint="eastAsia" w:ascii="宋体" w:hAnsi="宋体" w:cs="宋体"/>
                <w:szCs w:val="21"/>
                <w:lang w:val="en-US" w:eastAsia="zh-CN"/>
              </w:rPr>
              <w:t>6千方，主要客户学校和大型企业，</w:t>
            </w:r>
            <w:r>
              <w:rPr>
                <w:rFonts w:hint="eastAsia"/>
              </w:rPr>
              <w:t>能够持续满足顾客需求和管理体系改进的需要。</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040"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1350" w:type="dxa"/>
          </w:tcPr>
          <w:p>
            <w:pPr>
              <w:spacing w:line="280" w:lineRule="exact"/>
              <w:rPr>
                <w:szCs w:val="21"/>
              </w:rPr>
            </w:pPr>
            <w:r>
              <w:rPr>
                <w:rFonts w:hint="eastAsia" w:ascii="宋体" w:hAnsi="宋体" w:cs="宋体"/>
                <w:color w:val="000000"/>
                <w:kern w:val="0"/>
                <w:szCs w:val="21"/>
                <w:lang w:val="en-US" w:eastAsia="zh-CN"/>
              </w:rPr>
              <w:t>Q</w:t>
            </w:r>
            <w:r>
              <w:rPr>
                <w:rFonts w:hint="eastAsia" w:ascii="宋体" w:hAnsi="宋体" w:cs="宋体"/>
                <w:color w:val="000000"/>
                <w:kern w:val="0"/>
                <w:szCs w:val="21"/>
              </w:rPr>
              <w:t>EO</w:t>
            </w:r>
            <w:r>
              <w:rPr>
                <w:rFonts w:hint="eastAsia" w:ascii="宋体" w:hAnsi="宋体" w:cs="宋体"/>
                <w:color w:val="000000"/>
                <w:kern w:val="0"/>
                <w:szCs w:val="21"/>
                <w:lang w:val="en-US" w:eastAsia="zh-CN"/>
              </w:rPr>
              <w:t>F</w:t>
            </w:r>
            <w:r>
              <w:rPr>
                <w:rFonts w:hint="eastAsia" w:ascii="宋体" w:hAnsi="宋体" w:cs="宋体"/>
                <w:color w:val="000000"/>
                <w:kern w:val="0"/>
                <w:szCs w:val="21"/>
              </w:rPr>
              <w:t>7.4</w:t>
            </w:r>
          </w:p>
        </w:tc>
        <w:tc>
          <w:tcPr>
            <w:tcW w:w="9734" w:type="dxa"/>
            <w:vAlign w:val="center"/>
          </w:tcPr>
          <w:p>
            <w:pPr>
              <w:spacing w:line="280" w:lineRule="exact"/>
              <w:ind w:firstLine="420" w:firstLineChars="200"/>
              <w:rPr>
                <w:rFonts w:hint="eastAsia"/>
                <w:szCs w:val="21"/>
              </w:rPr>
            </w:pPr>
            <w:r>
              <w:rPr>
                <w:rFonts w:hint="eastAsia"/>
                <w:szCs w:val="21"/>
                <w:lang w:eastAsia="zh-CN"/>
              </w:rPr>
              <w:t>管理手册中</w:t>
            </w:r>
            <w:r>
              <w:rPr>
                <w:rFonts w:hint="eastAsia"/>
                <w:szCs w:val="21"/>
              </w:rPr>
              <w:t>规定了</w:t>
            </w:r>
            <w:r>
              <w:rPr>
                <w:rFonts w:hint="eastAsia"/>
                <w:szCs w:val="21"/>
                <w:lang w:eastAsia="zh-CN"/>
              </w:rPr>
              <w:t>沟通的</w:t>
            </w:r>
            <w:r>
              <w:rPr>
                <w:rFonts w:hint="eastAsia"/>
                <w:szCs w:val="21"/>
              </w:rPr>
              <w:t>职责、工作流程，包括内部沟通和外部沟通的方法和要求。公司确定了管理体系相关的内部和外部沟通，包括：沟通什么；何时沟通；与谁沟通；如何沟通；由谁负责，内外部沟通具体体现在公司内部工作会议、例会、员工的培训、公司宣传栏等，与外部的沟通具体体现与供方和分包商以沟通原料、辅料和与食品接触材料的信息，包括质量与安全信息</w:t>
            </w:r>
            <w:r>
              <w:rPr>
                <w:rFonts w:hint="eastAsia"/>
                <w:szCs w:val="21"/>
                <w:lang w:eastAsia="zh-CN"/>
              </w:rPr>
              <w:t>；</w:t>
            </w:r>
            <w:r>
              <w:rPr>
                <w:rFonts w:hint="eastAsia"/>
                <w:szCs w:val="21"/>
              </w:rPr>
              <w:t>与顾客以交流产品特性信息，问询、订单/合同处理（含更改）、交付，以及顾客反馈（包括抱怨、投诉）等。</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w:t>
            </w:r>
            <w:r>
              <w:rPr>
                <w:rFonts w:hint="eastAsia"/>
                <w:szCs w:val="21"/>
                <w:lang w:eastAsia="zh-CN"/>
              </w:rPr>
              <w:t>食品安全、</w:t>
            </w:r>
            <w:r>
              <w:rPr>
                <w:rFonts w:hint="eastAsia"/>
                <w:szCs w:val="21"/>
              </w:rPr>
              <w:t>环境、职业健康安全信息进行相互沟通。</w:t>
            </w:r>
          </w:p>
          <w:p>
            <w:pPr>
              <w:spacing w:line="280" w:lineRule="exact"/>
              <w:ind w:firstLine="420" w:firstLineChars="200"/>
              <w:rPr>
                <w:szCs w:val="21"/>
              </w:rPr>
            </w:pPr>
            <w:r>
              <w:rPr>
                <w:rFonts w:hint="eastAsia"/>
                <w:szCs w:val="21"/>
              </w:rPr>
              <w:t>审核周期内未发生因沟通不善造成的的问题。</w:t>
            </w:r>
          </w:p>
          <w:p>
            <w:pPr>
              <w:spacing w:line="280" w:lineRule="exact"/>
              <w:ind w:firstLine="420" w:firstLineChars="200"/>
              <w:rPr>
                <w:rFonts w:hint="eastAsia"/>
                <w:szCs w:val="21"/>
              </w:rPr>
            </w:pPr>
            <w:r>
              <w:rPr>
                <w:rFonts w:hint="eastAsia"/>
                <w:szCs w:val="21"/>
              </w:rPr>
              <w:t>财务部根据方案的要求，做好相关资金投入等，做好专项资金专项使用。</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04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350" w:type="dxa"/>
          </w:tcPr>
          <w:p>
            <w:pPr>
              <w:spacing w:line="280" w:lineRule="exact"/>
              <w:rPr>
                <w:rFonts w:hint="eastAsia"/>
              </w:rPr>
            </w:pPr>
            <w:r>
              <w:rPr>
                <w:rFonts w:hint="eastAsia"/>
                <w:lang w:val="en-US" w:eastAsia="zh-CN"/>
              </w:rPr>
              <w:t>Q</w:t>
            </w:r>
            <w:r>
              <w:rPr>
                <w:rFonts w:hint="eastAsia"/>
              </w:rPr>
              <w:t>EO</w:t>
            </w:r>
            <w:r>
              <w:rPr>
                <w:rFonts w:hint="eastAsia"/>
                <w:lang w:val="en-US" w:eastAsia="zh-CN"/>
              </w:rPr>
              <w:t>F</w:t>
            </w:r>
            <w:r>
              <w:rPr>
                <w:rFonts w:hint="eastAsia"/>
              </w:rPr>
              <w:t>9.3</w:t>
            </w:r>
          </w:p>
          <w:p>
            <w:pPr>
              <w:pStyle w:val="2"/>
              <w:jc w:val="both"/>
              <w:rPr>
                <w:rFonts w:hint="default" w:eastAsia="宋体"/>
                <w:lang w:val="en-US" w:eastAsia="zh-CN"/>
              </w:rPr>
            </w:pPr>
            <w:r>
              <w:rPr>
                <w:rFonts w:hint="eastAsia" w:ascii="Times New Roman" w:hAnsi="Times New Roman" w:eastAsia="宋体" w:cs="Times New Roman"/>
                <w:spacing w:val="0"/>
                <w:kern w:val="2"/>
                <w:sz w:val="21"/>
                <w:szCs w:val="22"/>
                <w:lang w:val="en-US" w:eastAsia="zh-CN" w:bidi="ar-SA"/>
              </w:rPr>
              <w:t>H5.5</w:t>
            </w:r>
          </w:p>
        </w:tc>
        <w:tc>
          <w:tcPr>
            <w:tcW w:w="9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sz w:val="21"/>
                <w:szCs w:val="21"/>
              </w:rPr>
            </w:pPr>
            <w:r>
              <w:rPr>
                <w:rFonts w:hint="eastAsia"/>
                <w:sz w:val="21"/>
                <w:szCs w:val="21"/>
              </w:rPr>
              <w:t>编制了管理评审控制程序，由总经理负责</w:t>
            </w:r>
            <w:r>
              <w:rPr>
                <w:rFonts w:hint="eastAsia"/>
                <w:sz w:val="21"/>
                <w:szCs w:val="21"/>
                <w:lang w:eastAsia="zh-CN"/>
              </w:rPr>
              <w:t>主持</w:t>
            </w:r>
            <w:r>
              <w:rPr>
                <w:rFonts w:hint="eastAsia"/>
                <w:sz w:val="21"/>
                <w:szCs w:val="21"/>
              </w:rPr>
              <w:t>，监察督导部负责评审计划的制定、收集并负责组织提供管理评审所需的资料</w:t>
            </w:r>
            <w:r>
              <w:rPr>
                <w:rFonts w:hint="eastAsia"/>
                <w:sz w:val="21"/>
                <w:szCs w:val="21"/>
                <w:lang w:eastAsia="zh-CN"/>
              </w:rPr>
              <w:t>，</w:t>
            </w:r>
            <w:r>
              <w:rPr>
                <w:rFonts w:hint="eastAsia"/>
                <w:sz w:val="21"/>
                <w:szCs w:val="21"/>
              </w:rPr>
              <w:t>提供了最近一次管理评审：</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sz w:val="21"/>
                <w:szCs w:val="21"/>
              </w:rPr>
            </w:pPr>
            <w:r>
              <w:rPr>
                <w:rFonts w:hint="eastAsia"/>
                <w:sz w:val="21"/>
                <w:szCs w:val="21"/>
              </w:rPr>
              <w:t>1.管理评审计划</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sz w:val="21"/>
                <w:szCs w:val="21"/>
              </w:rPr>
            </w:pPr>
            <w:r>
              <w:rPr>
                <w:rFonts w:hint="eastAsia"/>
                <w:sz w:val="21"/>
                <w:szCs w:val="21"/>
              </w:rPr>
              <w:t>评审时间：</w:t>
            </w:r>
            <w:r>
              <w:rPr>
                <w:sz w:val="21"/>
                <w:szCs w:val="21"/>
              </w:rPr>
              <w:t>2021</w:t>
            </w:r>
            <w:r>
              <w:rPr>
                <w:rFonts w:hint="eastAsia"/>
                <w:sz w:val="21"/>
                <w:szCs w:val="21"/>
              </w:rPr>
              <w:t>年</w:t>
            </w:r>
            <w:r>
              <w:rPr>
                <w:rFonts w:hint="eastAsia"/>
                <w:sz w:val="21"/>
                <w:szCs w:val="21"/>
                <w:lang w:val="en-US" w:eastAsia="zh-CN"/>
              </w:rPr>
              <w:t>4</w:t>
            </w:r>
            <w:r>
              <w:rPr>
                <w:rFonts w:hint="eastAsia"/>
                <w:sz w:val="21"/>
                <w:szCs w:val="21"/>
              </w:rPr>
              <w:t>月1</w:t>
            </w:r>
            <w:r>
              <w:rPr>
                <w:rFonts w:hint="eastAsia"/>
                <w:sz w:val="21"/>
                <w:szCs w:val="21"/>
                <w:lang w:val="en-US" w:eastAsia="zh-CN"/>
              </w:rPr>
              <w:t>0</w:t>
            </w:r>
            <w:r>
              <w:rPr>
                <w:rFonts w:hint="eastAsia"/>
                <w:sz w:val="21"/>
                <w:szCs w:val="21"/>
              </w:rPr>
              <w:t>日，评审方式：会议评审，计划编制：</w:t>
            </w:r>
            <w:r>
              <w:rPr>
                <w:rFonts w:hint="eastAsia"/>
                <w:sz w:val="21"/>
                <w:szCs w:val="21"/>
                <w:lang w:eastAsia="zh-CN"/>
              </w:rPr>
              <w:t>编制</w:t>
            </w:r>
            <w:r>
              <w:rPr>
                <w:rFonts w:hint="eastAsia"/>
                <w:sz w:val="21"/>
                <w:szCs w:val="21"/>
              </w:rPr>
              <w:t>：冯志伟</w:t>
            </w:r>
            <w:r>
              <w:rPr>
                <w:rFonts w:hint="eastAsia"/>
                <w:sz w:val="21"/>
                <w:szCs w:val="21"/>
                <w:lang w:eastAsia="zh-CN"/>
              </w:rPr>
              <w:t>；</w:t>
            </w:r>
            <w:r>
              <w:rPr>
                <w:rFonts w:hint="eastAsia"/>
                <w:sz w:val="21"/>
                <w:szCs w:val="21"/>
              </w:rPr>
              <w:t>批准：宣轩</w:t>
            </w:r>
            <w:r>
              <w:rPr>
                <w:rFonts w:hint="eastAsia"/>
                <w:sz w:val="21"/>
                <w:szCs w:val="21"/>
                <w:lang w:val="en-US" w:eastAsia="zh-CN"/>
              </w:rPr>
              <w:t>2021.3.1.</w:t>
            </w:r>
            <w:r>
              <w:rPr>
                <w:rFonts w:hint="eastAsia"/>
                <w:sz w:val="21"/>
                <w:szCs w:val="21"/>
              </w:rPr>
              <w:t>参加评审人员：赵立琦，冯志伟，宣轩，黄丹，周爱娟，陈堰塘，潘永琴，骆成军，李光辉，陈道清，马朝军，蓝志刚</w:t>
            </w:r>
            <w:r>
              <w:rPr>
                <w:rFonts w:hint="eastAsia"/>
                <w:sz w:val="21"/>
                <w:szCs w:val="21"/>
                <w:lang w:eastAsia="zh-CN"/>
              </w:rPr>
              <w:t>。</w:t>
            </w:r>
            <w:r>
              <w:rPr>
                <w:rFonts w:hint="eastAsia"/>
                <w:sz w:val="21"/>
                <w:szCs w:val="21"/>
              </w:rPr>
              <w:t>计划中明确了评审内容和</w:t>
            </w:r>
            <w:r>
              <w:rPr>
                <w:rFonts w:hint="eastAsia"/>
                <w:sz w:val="21"/>
                <w:szCs w:val="21"/>
                <w:lang w:eastAsia="zh-CN"/>
              </w:rPr>
              <w:t>各部门</w:t>
            </w:r>
            <w:r>
              <w:rPr>
                <w:rFonts w:hint="eastAsia"/>
                <w:sz w:val="21"/>
                <w:szCs w:val="21"/>
              </w:rPr>
              <w:t>资料准备要求。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eastAsia="宋体"/>
                <w:sz w:val="21"/>
                <w:szCs w:val="21"/>
                <w:lang w:eastAsia="zh-CN"/>
              </w:rPr>
            </w:pPr>
            <w:r>
              <w:rPr>
                <w:rFonts w:hint="eastAsia"/>
                <w:sz w:val="21"/>
                <w:szCs w:val="21"/>
              </w:rPr>
              <w:t>2.管理评审</w:t>
            </w:r>
            <w:r>
              <w:rPr>
                <w:rFonts w:hint="eastAsia"/>
                <w:sz w:val="21"/>
                <w:szCs w:val="21"/>
                <w:lang w:eastAsia="zh-CN"/>
              </w:rPr>
              <w:t>会议纪要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eastAsia="宋体"/>
                <w:sz w:val="21"/>
                <w:szCs w:val="21"/>
                <w:lang w:eastAsia="zh-CN"/>
              </w:rPr>
            </w:pPr>
            <w:r>
              <w:rPr>
                <w:rFonts w:hint="eastAsia"/>
                <w:sz w:val="21"/>
                <w:szCs w:val="21"/>
              </w:rPr>
              <w:t>按计划的时间实施了管理评审。管理评审</w:t>
            </w:r>
            <w:r>
              <w:rPr>
                <w:rFonts w:hint="eastAsia"/>
                <w:sz w:val="21"/>
                <w:szCs w:val="21"/>
                <w:lang w:eastAsia="zh-CN"/>
              </w:rPr>
              <w:t>内容</w:t>
            </w:r>
            <w:r>
              <w:rPr>
                <w:rFonts w:hint="eastAsia"/>
                <w:sz w:val="21"/>
                <w:szCs w:val="21"/>
              </w:rPr>
              <w:t>：内部和外部审核情况; 方针适宜性及目标达成情况讨论; 顾客投诉的处理,客户满意度调查情况分析; 餐饮质量状况及服务业绩的讨论; 预防及纠正措施实施情况及其效果性; 体系的变更及任何改进的建议；餐饮服务的改进；资源需求</w:t>
            </w:r>
            <w:r>
              <w:rPr>
                <w:rFonts w:hint="eastAsia"/>
                <w:sz w:val="21"/>
                <w:szCs w:val="21"/>
                <w:lang w:eastAsia="zh-CN"/>
              </w:rPr>
              <w:t>等</w:t>
            </w:r>
            <w:r>
              <w:rPr>
                <w:rFonts w:hint="eastAsia"/>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sz w:val="21"/>
                <w:szCs w:val="21"/>
              </w:rPr>
            </w:pPr>
            <w:r>
              <w:rPr>
                <w:rFonts w:hint="eastAsia"/>
                <w:sz w:val="21"/>
                <w:szCs w:val="21"/>
              </w:rPr>
              <w:t>管理评审报告</w:t>
            </w:r>
            <w:r>
              <w:rPr>
                <w:rFonts w:hint="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sz w:val="21"/>
                <w:szCs w:val="21"/>
              </w:rPr>
            </w:pPr>
            <w:r>
              <w:rPr>
                <w:rStyle w:val="16"/>
                <w:rFonts w:ascii="Arial" w:hAnsi="Arial" w:cs="Arial"/>
                <w:color w:val="000000"/>
                <w:sz w:val="21"/>
                <w:szCs w:val="21"/>
              </w:rPr>
              <w:t>针对内部和外部</w:t>
            </w:r>
            <w:r>
              <w:rPr>
                <w:rStyle w:val="16"/>
                <w:rFonts w:hint="eastAsia" w:ascii="Arial" w:hAnsi="Arial" w:cs="Arial"/>
                <w:color w:val="000000"/>
                <w:sz w:val="21"/>
                <w:szCs w:val="21"/>
              </w:rPr>
              <w:t>安全</w:t>
            </w:r>
            <w:r>
              <w:rPr>
                <w:rStyle w:val="16"/>
                <w:rFonts w:ascii="Arial" w:hAnsi="Arial" w:cs="Arial"/>
                <w:color w:val="000000"/>
                <w:sz w:val="21"/>
                <w:szCs w:val="21"/>
              </w:rPr>
              <w:t>信息反馈的交流渠道</w:t>
            </w:r>
            <w:r>
              <w:rPr>
                <w:rStyle w:val="16"/>
                <w:rFonts w:hint="eastAsia" w:ascii="Arial" w:hAnsi="Arial" w:cs="Arial"/>
                <w:color w:val="000000"/>
                <w:sz w:val="21"/>
                <w:szCs w:val="21"/>
              </w:rPr>
              <w:t>，</w:t>
            </w:r>
            <w:r>
              <w:rPr>
                <w:rStyle w:val="16"/>
                <w:rFonts w:ascii="Arial" w:hAnsi="Arial" w:cs="Arial"/>
                <w:color w:val="000000"/>
                <w:sz w:val="21"/>
                <w:szCs w:val="21"/>
              </w:rPr>
              <w:t>目前公司各部门主要以口头交流为主</w:t>
            </w:r>
            <w:r>
              <w:rPr>
                <w:rStyle w:val="16"/>
                <w:rFonts w:hint="eastAsia" w:ascii="Arial" w:hAnsi="Arial" w:cs="Arial"/>
                <w:color w:val="000000"/>
                <w:sz w:val="21"/>
                <w:szCs w:val="21"/>
              </w:rPr>
              <w:t>，重要的信息上、</w:t>
            </w:r>
            <w:r>
              <w:rPr>
                <w:rStyle w:val="16"/>
                <w:rFonts w:ascii="Arial" w:hAnsi="Arial" w:cs="Arial"/>
                <w:color w:val="000000"/>
                <w:sz w:val="21"/>
                <w:szCs w:val="21"/>
              </w:rPr>
              <w:t>纠正及预防措施通过会议强调</w:t>
            </w:r>
            <w:r>
              <w:rPr>
                <w:rStyle w:val="16"/>
                <w:rFonts w:hint="eastAsia" w:ascii="Arial" w:hAnsi="Arial" w:cs="Arial"/>
                <w:color w:val="000000"/>
                <w:sz w:val="21"/>
                <w:szCs w:val="21"/>
              </w:rPr>
              <w:t>，</w:t>
            </w:r>
            <w:r>
              <w:rPr>
                <w:rStyle w:val="16"/>
                <w:rFonts w:ascii="Arial" w:hAnsi="Arial" w:cs="Arial"/>
                <w:color w:val="000000"/>
                <w:sz w:val="21"/>
                <w:szCs w:val="21"/>
              </w:rPr>
              <w:t>各部门之间的相互沟通应以内部联络单的形式进行</w:t>
            </w:r>
            <w:r>
              <w:rPr>
                <w:rStyle w:val="16"/>
                <w:rFonts w:hint="eastAsia" w:ascii="Arial" w:hAnsi="Arial" w:cs="Arial"/>
                <w:color w:val="000000"/>
                <w:sz w:val="21"/>
                <w:szCs w:val="21"/>
              </w:rPr>
              <w:t>，</w:t>
            </w:r>
            <w:r>
              <w:rPr>
                <w:rStyle w:val="16"/>
                <w:rFonts w:ascii="Arial" w:hAnsi="Arial" w:cs="Arial"/>
                <w:color w:val="000000"/>
                <w:sz w:val="21"/>
                <w:szCs w:val="21"/>
              </w:rPr>
              <w:t>与客户、外部联络机构及供应商之间重要的沟通应以书面文件进行</w:t>
            </w:r>
            <w:r>
              <w:rPr>
                <w:rStyle w:val="16"/>
                <w:rFonts w:hint="eastAsia" w:ascii="Arial" w:hAnsi="Arial" w:cs="Arial"/>
                <w:color w:val="000000"/>
                <w:sz w:val="21"/>
                <w:szCs w:val="21"/>
              </w:rPr>
              <w:t>。</w:t>
            </w:r>
            <w:r>
              <w:rPr>
                <w:rStyle w:val="16"/>
                <w:rFonts w:hint="eastAsia" w:ascii="Arial" w:hAnsi="Arial" w:cs="Arial"/>
                <w:color w:val="000000"/>
                <w:sz w:val="21"/>
                <w:szCs w:val="21"/>
                <w:lang w:eastAsia="zh-CN"/>
              </w:rPr>
              <w:t>针对</w:t>
            </w:r>
            <w:r>
              <w:rPr>
                <w:rFonts w:hint="eastAsia"/>
                <w:sz w:val="21"/>
                <w:szCs w:val="21"/>
              </w:rPr>
              <w:t>内审提出</w:t>
            </w:r>
            <w:r>
              <w:rPr>
                <w:rFonts w:hint="eastAsia"/>
                <w:sz w:val="21"/>
                <w:szCs w:val="21"/>
                <w:lang w:val="en-US" w:eastAsia="zh-CN"/>
              </w:rPr>
              <w:t>1</w:t>
            </w:r>
            <w:r>
              <w:rPr>
                <w:rFonts w:hint="eastAsia"/>
                <w:sz w:val="21"/>
                <w:szCs w:val="21"/>
              </w:rPr>
              <w:t>个书面不合格项，责任部门已制订相应的纠正措施，并得到实施，经验证纠正措施有效。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sz w:val="21"/>
                <w:szCs w:val="21"/>
              </w:rPr>
            </w:pPr>
            <w:r>
              <w:rPr>
                <w:rFonts w:hint="eastAsia"/>
                <w:sz w:val="21"/>
                <w:szCs w:val="21"/>
                <w:lang w:val="en-US" w:eastAsia="zh-CN"/>
              </w:rPr>
              <w:t>4、</w:t>
            </w:r>
            <w:r>
              <w:rPr>
                <w:rFonts w:hint="eastAsia"/>
                <w:sz w:val="21"/>
                <w:szCs w:val="21"/>
              </w:rPr>
              <w:t>管理评审输出</w:t>
            </w:r>
            <w:r>
              <w:rPr>
                <w:rFonts w:hint="eastAsia"/>
                <w:sz w:val="21"/>
                <w:szCs w:val="21"/>
                <w:lang w:eastAsia="zh-CN"/>
              </w:rPr>
              <w:t>了《2021年度管理评审改进计划》</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sz w:val="21"/>
                <w:szCs w:val="21"/>
                <w:lang w:eastAsia="zh-CN"/>
              </w:rPr>
            </w:pPr>
            <w:r>
              <w:rPr>
                <w:rFonts w:hint="eastAsia"/>
                <w:sz w:val="21"/>
                <w:szCs w:val="21"/>
              </w:rPr>
              <w:t>改进内容</w:t>
            </w:r>
            <w:r>
              <w:rPr>
                <w:rFonts w:hint="eastAsia"/>
                <w:sz w:val="21"/>
                <w:szCs w:val="21"/>
                <w:lang w:eastAsia="zh-CN"/>
              </w:rPr>
              <w:t>：</w:t>
            </w:r>
            <w:r>
              <w:rPr>
                <w:rFonts w:hint="eastAsia"/>
                <w:sz w:val="21"/>
                <w:szCs w:val="21"/>
                <w:lang w:val="en-US" w:eastAsia="zh-CN"/>
              </w:rPr>
              <w:t>1）</w:t>
            </w:r>
            <w:r>
              <w:rPr>
                <w:rFonts w:hint="eastAsia"/>
                <w:sz w:val="21"/>
                <w:szCs w:val="21"/>
              </w:rPr>
              <w:t>加强培训工作，不断提高专业人员素质，全面贯彻质量、环境管理体系，大力培养骨干人员。加强应对风险和机遇的识别；</w:t>
            </w:r>
            <w:r>
              <w:rPr>
                <w:rFonts w:hint="eastAsia"/>
                <w:sz w:val="21"/>
                <w:szCs w:val="21"/>
                <w:lang w:val="en-US" w:eastAsia="zh-CN"/>
              </w:rPr>
              <w:t>2）</w:t>
            </w:r>
            <w:r>
              <w:rPr>
                <w:rFonts w:hint="eastAsia"/>
                <w:sz w:val="21"/>
                <w:szCs w:val="21"/>
              </w:rPr>
              <w:t>定期及时更新适用的法律法规清单，积极响应各类政策规定。</w:t>
            </w:r>
            <w:r>
              <w:rPr>
                <w:rFonts w:hint="eastAsia"/>
                <w:sz w:val="21"/>
                <w:szCs w:val="21"/>
                <w:lang w:val="en-US" w:eastAsia="zh-CN"/>
              </w:rPr>
              <w:t>3）</w:t>
            </w:r>
            <w:r>
              <w:rPr>
                <w:rFonts w:hint="eastAsia"/>
                <w:sz w:val="21"/>
                <w:szCs w:val="21"/>
              </w:rPr>
              <w:t>按要求对供应商进行评审，对业务合同进行评审，定期组织客户满意度调查。</w:t>
            </w:r>
            <w:r>
              <w:rPr>
                <w:rFonts w:hint="eastAsia"/>
                <w:sz w:val="21"/>
                <w:szCs w:val="21"/>
                <w:lang w:eastAsia="zh-CN"/>
              </w:rPr>
              <w:t>制定相应的改进措施、指定责任部门和整改时间。</w:t>
            </w:r>
          </w:p>
          <w:p>
            <w:pPr>
              <w:spacing w:line="280" w:lineRule="exact"/>
            </w:pPr>
            <w:r>
              <w:rPr>
                <w:rFonts w:hint="eastAsia"/>
                <w:spacing w:val="0"/>
                <w:sz w:val="21"/>
                <w:szCs w:val="21"/>
                <w:lang w:val="en-US" w:eastAsia="zh-CN"/>
              </w:rPr>
              <w:t>5</w:t>
            </w:r>
            <w:r>
              <w:rPr>
                <w:rStyle w:val="16"/>
                <w:rFonts w:hint="eastAsia" w:ascii="Arial" w:hAnsi="Arial" w:eastAsia="宋体" w:cs="Arial"/>
                <w:color w:val="000000"/>
                <w:spacing w:val="0"/>
                <w:kern w:val="2"/>
                <w:sz w:val="21"/>
                <w:szCs w:val="21"/>
                <w:lang w:val="en-US" w:eastAsia="zh-CN" w:bidi="ar-SA"/>
              </w:rPr>
              <w:t>、管理评审结论：经过管理评审对相关资料进行分析，发现了我公司现存在的一些问题，同时可以看出，推行FSMS\HACCP管理体系认证，已经在各个部门取得了不小的进步，整个管理体系在总体上是适用和有效的。</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spacing w:line="280" w:lineRule="exact"/>
              <w:rPr>
                <w:rFonts w:hint="eastAsia" w:ascii="宋体" w:hAnsi="宋体" w:cs="宋体"/>
                <w:szCs w:val="21"/>
              </w:rPr>
            </w:pPr>
            <w:r>
              <w:rPr>
                <w:rFonts w:hint="eastAsia" w:ascii="宋体" w:hAnsi="宋体" w:cs="宋体"/>
                <w:szCs w:val="21"/>
              </w:rPr>
              <w:t>运行策划和控制</w:t>
            </w:r>
          </w:p>
        </w:tc>
        <w:tc>
          <w:tcPr>
            <w:tcW w:w="1350" w:type="dxa"/>
          </w:tcPr>
          <w:p>
            <w:pPr>
              <w:spacing w:line="280" w:lineRule="exact"/>
              <w:rPr>
                <w:rFonts w:hint="default"/>
                <w:szCs w:val="21"/>
                <w:lang w:val="en-US" w:eastAsia="zh-CN"/>
              </w:rPr>
            </w:pPr>
            <w:r>
              <w:rPr>
                <w:rFonts w:hint="eastAsia"/>
                <w:szCs w:val="21"/>
                <w:lang w:val="en-US" w:eastAsia="zh-CN"/>
              </w:rPr>
              <w:t>EO8.1</w:t>
            </w:r>
          </w:p>
        </w:tc>
        <w:tc>
          <w:tcPr>
            <w:tcW w:w="9734" w:type="dxa"/>
          </w:tcPr>
          <w:p>
            <w:pPr>
              <w:spacing w:line="280" w:lineRule="exact"/>
              <w:ind w:firstLine="421"/>
            </w:pPr>
            <w:r>
              <w:rPr>
                <w:rFonts w:hint="eastAsia"/>
              </w:rPr>
              <w:t>编制与环境、安全管理体系运行控制有关的文件有《环境和职业健康安全运行控制程序》、《相关方管理控制制程序》等。</w:t>
            </w:r>
          </w:p>
          <w:p>
            <w:pPr>
              <w:spacing w:line="280" w:lineRule="exact"/>
              <w:ind w:firstLine="421"/>
            </w:pPr>
            <w:r>
              <w:rPr>
                <w:rFonts w:hint="eastAsia"/>
              </w:rPr>
              <w:t>1、废水管控</w:t>
            </w:r>
          </w:p>
          <w:p>
            <w:pPr>
              <w:spacing w:line="280" w:lineRule="exact"/>
              <w:ind w:firstLine="421"/>
              <w:rPr>
                <w:rFonts w:hint="eastAsia" w:eastAsia="宋体"/>
                <w:lang w:eastAsia="zh-CN"/>
              </w:rPr>
            </w:pPr>
            <w:r>
              <w:rPr>
                <w:rFonts w:hint="eastAsia"/>
              </w:rPr>
              <w:t>主要生活废水排入政府污水管网统一处理。</w:t>
            </w:r>
          </w:p>
          <w:p>
            <w:pPr>
              <w:spacing w:line="280" w:lineRule="exact"/>
              <w:ind w:firstLine="421"/>
            </w:pPr>
            <w:r>
              <w:rPr>
                <w:rFonts w:hint="eastAsia"/>
              </w:rPr>
              <w:t>2、废气管控</w:t>
            </w:r>
          </w:p>
          <w:p>
            <w:pPr>
              <w:spacing w:line="280" w:lineRule="exact"/>
              <w:ind w:firstLine="421"/>
            </w:pPr>
            <w:r>
              <w:rPr>
                <w:rFonts w:hint="eastAsia"/>
              </w:rPr>
              <w:t>办公现场基本无废气排放。</w:t>
            </w:r>
          </w:p>
          <w:p>
            <w:pPr>
              <w:spacing w:line="280" w:lineRule="exact"/>
              <w:ind w:firstLine="421"/>
            </w:pPr>
            <w:r>
              <w:rPr>
                <w:rFonts w:hint="eastAsia"/>
              </w:rPr>
              <w:t>3、噪声管控</w:t>
            </w:r>
          </w:p>
          <w:p>
            <w:pPr>
              <w:spacing w:line="280" w:lineRule="exact"/>
              <w:ind w:firstLine="421"/>
              <w:rPr>
                <w:rFonts w:hint="eastAsia"/>
              </w:rPr>
            </w:pPr>
            <w:r>
              <w:rPr>
                <w:rFonts w:hint="eastAsia"/>
              </w:rPr>
              <w:t>办公噪声主要是复印机运行，噪声较低，采取措施按时清洁保养。</w:t>
            </w:r>
          </w:p>
          <w:p>
            <w:pPr>
              <w:numPr>
                <w:ilvl w:val="0"/>
                <w:numId w:val="2"/>
              </w:numPr>
              <w:spacing w:line="280" w:lineRule="exact"/>
              <w:ind w:firstLine="421"/>
              <w:rPr>
                <w:rFonts w:hint="eastAsia"/>
                <w:lang w:eastAsia="zh-CN"/>
              </w:rPr>
            </w:pPr>
            <w:r>
              <w:rPr>
                <w:rFonts w:hint="eastAsia"/>
                <w:lang w:eastAsia="zh-CN"/>
              </w:rPr>
              <w:t>提供了三废检测报告</w:t>
            </w:r>
          </w:p>
          <w:p>
            <w:pPr>
              <w:numPr>
                <w:ilvl w:val="0"/>
                <w:numId w:val="0"/>
              </w:numPr>
              <w:spacing w:line="280" w:lineRule="exact"/>
              <w:ind w:firstLine="420" w:firstLineChars="200"/>
              <w:rPr>
                <w:rFonts w:hint="eastAsia" w:eastAsia="宋体"/>
                <w:lang w:eastAsia="zh-CN"/>
              </w:rPr>
            </w:pPr>
            <w:r>
              <w:rPr>
                <w:rFonts w:hint="eastAsia"/>
                <w:lang w:eastAsia="zh-CN"/>
              </w:rPr>
              <w:t>样品类别：生活污水、饮食油烟、环境噪音；检测单位：杭州道宇检测技术有限公司；</w:t>
            </w:r>
          </w:p>
          <w:p>
            <w:pPr>
              <w:numPr>
                <w:ilvl w:val="0"/>
                <w:numId w:val="0"/>
              </w:numPr>
              <w:spacing w:line="280" w:lineRule="exact"/>
              <w:ind w:left="420" w:leftChars="0"/>
            </w:pPr>
            <w:r>
              <w:rPr>
                <w:rFonts w:hint="eastAsia"/>
                <w:lang w:val="en-US" w:eastAsia="zh-CN"/>
              </w:rPr>
              <w:t>5、</w:t>
            </w:r>
            <w:r>
              <w:rPr>
                <w:rFonts w:hint="eastAsia"/>
              </w:rPr>
              <w:t>固废管控</w:t>
            </w:r>
          </w:p>
          <w:p>
            <w:pPr>
              <w:spacing w:line="280" w:lineRule="exact"/>
              <w:ind w:firstLine="420" w:firstLineChars="200"/>
              <w:rPr>
                <w:rFonts w:hint="eastAsia"/>
                <w:lang w:eastAsia="zh-CN"/>
              </w:rPr>
            </w:pPr>
            <w:r>
              <w:rPr>
                <w:rFonts w:hint="eastAsia" w:ascii="宋体" w:hAnsi="宋体" w:cs="宋体"/>
                <w:szCs w:val="21"/>
                <w:highlight w:val="none"/>
                <w:lang w:eastAsia="zh-CN"/>
              </w:rPr>
              <w:t>厨余垃圾、油脂；由滨江区政府制定专业单位垃圾回收，</w:t>
            </w:r>
            <w:r>
              <w:rPr>
                <w:rFonts w:hint="eastAsia" w:ascii="宋体" w:hAnsi="宋体" w:cs="宋体"/>
                <w:szCs w:val="21"/>
                <w:highlight w:val="none"/>
              </w:rPr>
              <w:t>提供了</w:t>
            </w:r>
            <w:r>
              <w:rPr>
                <w:rFonts w:hint="eastAsia" w:ascii="宋体" w:hAnsi="宋体" w:cs="宋体"/>
                <w:szCs w:val="21"/>
                <w:highlight w:val="none"/>
                <w:lang w:eastAsia="zh-CN"/>
              </w:rPr>
              <w:t>相关合作协议：与浙江卓尚环保能源有限公司的废弃油脂回收协议，与杭州滨江环卫清洁有限公司的垃圾清运合同。</w:t>
            </w:r>
          </w:p>
          <w:p>
            <w:pPr>
              <w:spacing w:line="280" w:lineRule="exact"/>
              <w:ind w:firstLine="420" w:firstLineChars="200"/>
              <w:rPr>
                <w:rFonts w:hint="default"/>
                <w:lang w:val="en-US"/>
              </w:rPr>
            </w:pPr>
            <w:r>
              <w:rPr>
                <w:rFonts w:hint="eastAsia"/>
                <w:lang w:val="en-US" w:eastAsia="zh-CN"/>
              </w:rPr>
              <w:t>6、</w:t>
            </w:r>
            <w:r>
              <w:rPr>
                <w:rFonts w:hint="eastAsia" w:ascii="宋体" w:hAnsi="宋体" w:cs="宋体"/>
                <w:szCs w:val="21"/>
                <w:lang w:val="en-US" w:eastAsia="zh-CN"/>
              </w:rPr>
              <w:t>员工除了健康证办理，部分员工一定年限的员工做体检，劳保用品的配置，增加自动化机器，减少操作风险。食品安全培训、消防安全的培训。应急预案一年两次演练，今年在环保及职业健康安全投入大约65万左右。</w:t>
            </w:r>
          </w:p>
          <w:p>
            <w:pPr>
              <w:pStyle w:val="3"/>
              <w:rPr>
                <w:rFonts w:hint="eastAsia" w:ascii="宋体" w:hAnsi="宋体" w:cs="宋体"/>
                <w:szCs w:val="21"/>
              </w:rPr>
            </w:pPr>
            <w:r>
              <w:rPr>
                <w:rFonts w:hint="eastAsia"/>
                <w:lang w:val="en-US" w:eastAsia="zh-CN"/>
              </w:rPr>
              <w:t>7</w:t>
            </w:r>
            <w:r>
              <w:rPr>
                <w:rFonts w:hint="eastAsia"/>
              </w:rPr>
              <w:t>、疫情期间进出公司人员进行温度登记，查看健康码，公司给员工发放口罩等劳保用品，不允许私拉乱扔，同时做好疫苗接种等工作，并提醒物业公司及时进行监控用电线电路的定期检查。</w:t>
            </w:r>
          </w:p>
        </w:tc>
        <w:tc>
          <w:tcPr>
            <w:tcW w:w="1585" w:type="dxa"/>
          </w:tcPr>
          <w:p>
            <w:pPr>
              <w:rPr>
                <w:rFonts w:hint="eastAsia" w:eastAsia="宋体"/>
                <w:lang w:val="en-US" w:eastAsia="zh-CN"/>
              </w:rPr>
            </w:pPr>
            <w:r>
              <w:rPr/>
              <w:sym w:font="Wingdings" w:char="00FE"/>
            </w:r>
            <w:r>
              <w:rPr>
                <w:rFonts w:hint="eastAsia"/>
                <w:lang w:val="en-US" w:eastAsia="zh-CN"/>
              </w:rPr>
              <w:t>符合</w:t>
            </w:r>
          </w:p>
          <w:p>
            <w:pPr>
              <w:rPr>
                <w:rFonts w:hint="eastAsi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应急准备和响应</w:t>
            </w:r>
          </w:p>
        </w:tc>
        <w:tc>
          <w:tcPr>
            <w:tcW w:w="1350" w:type="dxa"/>
          </w:tcPr>
          <w:p>
            <w:pPr>
              <w:spacing w:line="280" w:lineRule="exact"/>
              <w:rPr>
                <w:rFonts w:hint="default"/>
                <w:szCs w:val="21"/>
                <w:lang w:val="en-US" w:eastAsia="zh-CN"/>
              </w:rPr>
            </w:pPr>
            <w:r>
              <w:rPr>
                <w:rFonts w:hint="eastAsia"/>
                <w:szCs w:val="21"/>
                <w:lang w:val="en-US" w:eastAsia="zh-CN"/>
              </w:rPr>
              <w:t>EO8.2</w:t>
            </w:r>
          </w:p>
        </w:tc>
        <w:tc>
          <w:tcPr>
            <w:tcW w:w="9734" w:type="dxa"/>
          </w:tcPr>
          <w:p>
            <w:pPr>
              <w:pStyle w:val="17"/>
              <w:spacing w:line="280" w:lineRule="exact"/>
              <w:rPr>
                <w:sz w:val="21"/>
                <w:szCs w:val="21"/>
              </w:rPr>
            </w:pPr>
            <w:r>
              <w:rPr>
                <w:rFonts w:hint="eastAsia" w:ascii="宋体" w:hAnsi="宋体"/>
                <w:sz w:val="21"/>
                <w:szCs w:val="21"/>
              </w:rPr>
              <w:t>编制了《应急准备和响应管理程序</w:t>
            </w:r>
            <w:r>
              <w:rPr>
                <w:rFonts w:hint="eastAsia"/>
                <w:sz w:val="21"/>
                <w:szCs w:val="21"/>
              </w:rPr>
              <w:t>》，查看内容基本符合要求。</w:t>
            </w:r>
          </w:p>
          <w:p>
            <w:pPr>
              <w:pStyle w:val="17"/>
              <w:spacing w:line="280" w:lineRule="exact"/>
              <w:ind w:firstLineChars="0"/>
              <w:rPr>
                <w:sz w:val="21"/>
                <w:szCs w:val="21"/>
              </w:rPr>
            </w:pPr>
            <w:r>
              <w:rPr>
                <w:rFonts w:hint="eastAsia"/>
                <w:sz w:val="21"/>
                <w:szCs w:val="21"/>
              </w:rPr>
              <w:t>策划了应急预案包括食物中毒应急预案</w:t>
            </w:r>
            <w:r>
              <w:rPr>
                <w:rFonts w:hint="eastAsia"/>
                <w:sz w:val="21"/>
                <w:szCs w:val="21"/>
                <w:lang w:eastAsia="zh-CN"/>
              </w:rPr>
              <w:t>，食堂火灾、火警等安全应急预案，意外受伤紧急预案，停水停电</w:t>
            </w:r>
            <w:r>
              <w:rPr>
                <w:rFonts w:hint="eastAsia"/>
                <w:sz w:val="21"/>
                <w:szCs w:val="21"/>
              </w:rPr>
              <w:t>等应急预案。</w:t>
            </w:r>
          </w:p>
          <w:p>
            <w:pPr>
              <w:pStyle w:val="17"/>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hint="eastAsia" w:ascii="宋体" w:hAnsi="宋体" w:eastAsia="宋体" w:cs="宋体"/>
                <w:szCs w:val="21"/>
                <w:lang w:val="en-US" w:eastAsia="zh-CN"/>
              </w:rPr>
            </w:pPr>
            <w:r>
              <w:rPr>
                <w:rFonts w:hint="eastAsia"/>
                <w:szCs w:val="21"/>
              </w:rPr>
              <w:t>查消防灭火演练，演练时间2021年</w:t>
            </w:r>
            <w:r>
              <w:rPr>
                <w:rFonts w:hint="eastAsia"/>
                <w:szCs w:val="21"/>
                <w:lang w:val="en-US" w:eastAsia="zh-CN"/>
              </w:rPr>
              <w:t>4</w:t>
            </w:r>
            <w:r>
              <w:rPr>
                <w:rFonts w:hint="eastAsia"/>
                <w:szCs w:val="21"/>
              </w:rPr>
              <w:t>月20日，地点生产车间，潘永琴</w:t>
            </w:r>
            <w:r>
              <w:rPr>
                <w:rFonts w:hint="eastAsia"/>
                <w:szCs w:val="21"/>
                <w:lang w:eastAsia="zh-CN"/>
              </w:rPr>
              <w:t>、</w:t>
            </w:r>
            <w:r>
              <w:rPr>
                <w:rFonts w:hint="eastAsia"/>
                <w:szCs w:val="21"/>
              </w:rPr>
              <w:t>杨红志</w:t>
            </w:r>
            <w:r>
              <w:rPr>
                <w:rFonts w:hint="eastAsia"/>
                <w:szCs w:val="21"/>
                <w:lang w:eastAsia="zh-CN"/>
              </w:rPr>
              <w:t>、</w:t>
            </w:r>
            <w:r>
              <w:rPr>
                <w:rFonts w:hint="eastAsia"/>
                <w:szCs w:val="21"/>
              </w:rPr>
              <w:t>邱玉峰等参加了演练，应急指挥人</w:t>
            </w:r>
            <w:r>
              <w:rPr>
                <w:rFonts w:hint="eastAsia"/>
                <w:szCs w:val="21"/>
                <w:lang w:val="en-US" w:eastAsia="zh-CN"/>
              </w:rPr>
              <w:t>蓝志刚</w:t>
            </w:r>
            <w:r>
              <w:rPr>
                <w:rFonts w:hint="eastAsia"/>
                <w:szCs w:val="21"/>
              </w:rPr>
              <w:t>；对演练过程进行了描述，并对预案的有效性进行了评价。目前未发生火灾、人身伤害等事故</w:t>
            </w:r>
            <w:r>
              <w:rPr>
                <w:rFonts w:hint="eastAsia"/>
                <w:szCs w:val="21"/>
                <w:lang w:eastAsia="zh-CN"/>
              </w:rPr>
              <w:t>。</w:t>
            </w:r>
          </w:p>
        </w:tc>
        <w:tc>
          <w:tcPr>
            <w:tcW w:w="1585" w:type="dxa"/>
          </w:tcPr>
          <w:p>
            <w:pPr>
              <w:rPr>
                <w:rFonts w:hint="eastAsia" w:eastAsia="宋体"/>
                <w:lang w:val="en-US" w:eastAsia="zh-CN"/>
              </w:rPr>
            </w:pPr>
            <w:r>
              <w:rPr/>
              <w:sym w:font="Wingdings" w:char="00FE"/>
            </w:r>
            <w:r>
              <w:rPr>
                <w:rFonts w:hint="eastAsia"/>
                <w:lang w:val="en-US" w:eastAsia="zh-CN"/>
              </w:rPr>
              <w:t>符合</w:t>
            </w:r>
          </w:p>
          <w:p>
            <w:pPr>
              <w:rPr>
                <w:rFonts w:hint="eastAsi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spacing w:line="280" w:lineRule="exact"/>
              <w:rPr>
                <w:rFonts w:ascii="宋体" w:hAnsi="宋体" w:cs="宋体"/>
                <w:szCs w:val="21"/>
              </w:rPr>
            </w:pPr>
            <w:r>
              <w:rPr>
                <w:rFonts w:hint="eastAsia" w:ascii="宋体" w:hAnsi="宋体" w:cs="宋体"/>
                <w:szCs w:val="21"/>
              </w:rPr>
              <w:t>总则</w:t>
            </w:r>
          </w:p>
        </w:tc>
        <w:tc>
          <w:tcPr>
            <w:tcW w:w="1350" w:type="dxa"/>
          </w:tcPr>
          <w:p>
            <w:pPr>
              <w:spacing w:line="280" w:lineRule="exact"/>
              <w:rPr>
                <w:szCs w:val="21"/>
              </w:rPr>
            </w:pPr>
            <w:r>
              <w:rPr>
                <w:rFonts w:hint="eastAsia"/>
                <w:szCs w:val="21"/>
                <w:lang w:val="en-US" w:eastAsia="zh-CN"/>
              </w:rPr>
              <w:t>Q</w:t>
            </w:r>
            <w:r>
              <w:rPr>
                <w:rFonts w:hint="eastAsia"/>
                <w:szCs w:val="21"/>
              </w:rPr>
              <w:t>EO10.1</w:t>
            </w:r>
          </w:p>
        </w:tc>
        <w:tc>
          <w:tcPr>
            <w:tcW w:w="973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spacing w:line="280" w:lineRule="exact"/>
              <w:rPr>
                <w:rFonts w:ascii="宋体" w:hAnsi="宋体" w:cs="宋体"/>
                <w:szCs w:val="21"/>
              </w:rPr>
            </w:pPr>
            <w:r>
              <w:rPr>
                <w:rFonts w:hint="eastAsia" w:ascii="宋体" w:hAnsi="宋体" w:cs="宋体"/>
                <w:szCs w:val="21"/>
              </w:rPr>
              <w:t>10.2不符合/事件和纠正措施</w:t>
            </w:r>
          </w:p>
        </w:tc>
        <w:tc>
          <w:tcPr>
            <w:tcW w:w="1350" w:type="dxa"/>
          </w:tcPr>
          <w:p>
            <w:pPr>
              <w:spacing w:line="280" w:lineRule="exact"/>
              <w:rPr>
                <w:rFonts w:hint="eastAsia"/>
                <w:szCs w:val="21"/>
                <w:lang w:val="en-US" w:eastAsia="zh-CN"/>
              </w:rPr>
            </w:pPr>
            <w:r>
              <w:rPr>
                <w:rFonts w:hint="eastAsia"/>
                <w:szCs w:val="21"/>
                <w:lang w:val="en-US" w:eastAsia="zh-CN"/>
              </w:rPr>
              <w:t>Q</w:t>
            </w:r>
            <w:r>
              <w:rPr>
                <w:rFonts w:hint="eastAsia"/>
                <w:szCs w:val="21"/>
              </w:rPr>
              <w:t xml:space="preserve">EO </w:t>
            </w:r>
            <w:r>
              <w:rPr>
                <w:rFonts w:hint="eastAsia"/>
                <w:szCs w:val="21"/>
                <w:lang w:val="en-US" w:eastAsia="zh-CN"/>
              </w:rPr>
              <w:t>10.2</w:t>
            </w:r>
          </w:p>
          <w:p>
            <w:pPr>
              <w:spacing w:line="280" w:lineRule="exact"/>
              <w:rPr>
                <w:rFonts w:hint="eastAsia" w:eastAsia="宋体"/>
                <w:szCs w:val="21"/>
                <w:lang w:eastAsia="zh-CN"/>
              </w:rPr>
            </w:pPr>
            <w:r>
              <w:rPr>
                <w:rFonts w:hint="eastAsia"/>
                <w:szCs w:val="21"/>
                <w:lang w:val="en-US" w:eastAsia="zh-CN"/>
              </w:rPr>
              <w:t>F</w:t>
            </w:r>
            <w:r>
              <w:rPr>
                <w:rFonts w:hint="eastAsia"/>
                <w:szCs w:val="21"/>
              </w:rPr>
              <w:t>10.</w:t>
            </w:r>
            <w:r>
              <w:rPr>
                <w:rFonts w:hint="eastAsia"/>
                <w:szCs w:val="21"/>
                <w:lang w:val="en-US" w:eastAsia="zh-CN"/>
              </w:rPr>
              <w:t>1</w:t>
            </w:r>
          </w:p>
        </w:tc>
        <w:tc>
          <w:tcPr>
            <w:tcW w:w="973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负责人介绍公司在运行过程中对发现的不合格都会采取纠正、纠正措施以防止不合格或不符合再次发生，同时也会举一反三地看待其他类似过程，采取预防措施以防止发生不合格或不符合。 公司内审时发现的</w:t>
            </w:r>
            <w:r>
              <w:rPr>
                <w:rFonts w:hint="eastAsia"/>
                <w:szCs w:val="21"/>
                <w:lang w:val="en-US" w:eastAsia="zh-CN"/>
              </w:rPr>
              <w:t>1</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w:t>
            </w:r>
            <w:r>
              <w:rPr>
                <w:rFonts w:hint="eastAsia"/>
                <w:szCs w:val="21"/>
                <w:lang w:eastAsia="zh-CN"/>
              </w:rPr>
              <w:t>食品安全、</w:t>
            </w:r>
            <w:r>
              <w:rPr>
                <w:rFonts w:hint="eastAsia"/>
                <w:szCs w:val="21"/>
              </w:rPr>
              <w:t>环境或职业健康安全方面的事故。</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pPr>
              <w:spacing w:line="280" w:lineRule="exact"/>
              <w:rPr>
                <w:rFonts w:ascii="宋体" w:hAnsi="宋体" w:cs="宋体"/>
                <w:szCs w:val="21"/>
              </w:rPr>
            </w:pPr>
            <w:r>
              <w:rPr>
                <w:rFonts w:hint="eastAsia" w:ascii="宋体" w:hAnsi="宋体" w:cs="宋体"/>
                <w:szCs w:val="21"/>
              </w:rPr>
              <w:t>持续改进</w:t>
            </w:r>
          </w:p>
        </w:tc>
        <w:tc>
          <w:tcPr>
            <w:tcW w:w="1350" w:type="dxa"/>
          </w:tcPr>
          <w:p>
            <w:pPr>
              <w:spacing w:line="280" w:lineRule="exact"/>
              <w:rPr>
                <w:rFonts w:hint="default"/>
                <w:szCs w:val="21"/>
                <w:lang w:val="en-US"/>
              </w:rPr>
            </w:pPr>
            <w:r>
              <w:rPr>
                <w:rFonts w:hint="eastAsia"/>
                <w:szCs w:val="21"/>
                <w:lang w:val="en-US" w:eastAsia="zh-CN"/>
              </w:rPr>
              <w:t>Q</w:t>
            </w:r>
            <w:r>
              <w:rPr>
                <w:rFonts w:hint="eastAsia"/>
                <w:szCs w:val="21"/>
              </w:rPr>
              <w:t xml:space="preserve">EO10.3 </w:t>
            </w:r>
            <w:r>
              <w:rPr>
                <w:rFonts w:hint="eastAsia"/>
                <w:szCs w:val="21"/>
                <w:lang w:val="en-US" w:eastAsia="zh-CN"/>
              </w:rPr>
              <w:t>F10.2</w:t>
            </w:r>
          </w:p>
        </w:tc>
        <w:tc>
          <w:tcPr>
            <w:tcW w:w="973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rPr>
              <w:t>b)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rPr>
              <w:t>2.持续改进管理体系的有效性。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r>
              <w:rPr>
                <w:rFonts w:hint="eastAsia"/>
              </w:rPr>
              <w:t>食品安全管理体系的更新</w:t>
            </w:r>
          </w:p>
          <w:p>
            <w:pPr>
              <w:spacing w:line="280" w:lineRule="exact"/>
              <w:rPr>
                <w:rFonts w:hint="eastAsia" w:ascii="宋体" w:hAnsi="宋体" w:cs="宋体"/>
                <w:szCs w:val="21"/>
              </w:rPr>
            </w:pPr>
          </w:p>
        </w:tc>
        <w:tc>
          <w:tcPr>
            <w:tcW w:w="1350" w:type="dxa"/>
          </w:tcPr>
          <w:p>
            <w:pPr>
              <w:spacing w:line="280" w:lineRule="exact"/>
              <w:rPr>
                <w:rFonts w:hint="eastAsia"/>
                <w:szCs w:val="21"/>
                <w:lang w:val="en-US" w:eastAsia="zh-CN"/>
              </w:rPr>
            </w:pPr>
            <w:r>
              <w:rPr>
                <w:rFonts w:hint="eastAsia"/>
              </w:rPr>
              <w:t>F10.3</w:t>
            </w:r>
          </w:p>
        </w:tc>
        <w:tc>
          <w:tcPr>
            <w:tcW w:w="9734" w:type="dxa"/>
            <w:vAlign w:val="center"/>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highlight w:val="none"/>
              </w:rPr>
              <w:sym w:font="Wingdings" w:char="00FE"/>
            </w:r>
            <w:r>
              <w:rPr>
                <w:rFonts w:hint="eastAsia"/>
                <w:highlight w:val="none"/>
              </w:rPr>
              <w:t>每年、</w:t>
            </w:r>
            <w:r>
              <w:rPr>
                <w:rFonts w:hint="eastAsia"/>
                <w:highlight w:val="none"/>
              </w:rPr>
              <w:sym w:font="Wingdings" w:char="00A8"/>
            </w:r>
            <w:r>
              <w:rPr>
                <w:rFonts w:hint="eastAsia"/>
                <w:highlight w:val="none"/>
              </w:rPr>
              <w:t>每月、</w:t>
            </w:r>
            <w:r>
              <w:rPr>
                <w:rFonts w:hint="eastAsia"/>
                <w:highlight w:val="none"/>
              </w:rPr>
              <w:sym w:font="Wingdings" w:char="00A8"/>
            </w:r>
            <w:r>
              <w:rPr>
                <w:rFonts w:hint="eastAsia"/>
                <w:highlight w:val="none"/>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pPr>
              <w:spacing w:line="280" w:lineRule="exact"/>
              <w:rPr>
                <w:rFonts w:hint="eastAsia" w:ascii="宋体" w:hAnsi="宋体" w:cs="宋体"/>
                <w:szCs w:val="21"/>
              </w:rPr>
            </w:pPr>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体系建立以来，未发生</w:t>
            </w:r>
            <w:r>
              <w:rPr>
                <w:rFonts w:hint="eastAsia"/>
                <w:u w:val="single"/>
              </w:rPr>
              <w:t xml:space="preserve">          </w:t>
            </w:r>
            <w:r>
              <w:rPr>
                <w:rFonts w:hint="eastAsia"/>
              </w:rPr>
              <w:t xml:space="preserve">  </w:t>
            </w:r>
            <w:r>
              <w:t>，作为输入报告给管理评审。</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850" w:right="720" w:bottom="992"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BFCDD"/>
    <w:multiLevelType w:val="singleLevel"/>
    <w:tmpl w:val="FD6BFCDD"/>
    <w:lvl w:ilvl="0" w:tentative="0">
      <w:start w:val="4"/>
      <w:numFmt w:val="decimal"/>
      <w:suff w:val="nothing"/>
      <w:lvlText w:val="%1、"/>
      <w:lvlJc w:val="left"/>
    </w:lvl>
  </w:abstractNum>
  <w:abstractNum w:abstractNumId="1">
    <w:nsid w:val="19B10CCC"/>
    <w:multiLevelType w:val="singleLevel"/>
    <w:tmpl w:val="19B10CCC"/>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218143D"/>
    <w:rsid w:val="026E726C"/>
    <w:rsid w:val="02A91F0E"/>
    <w:rsid w:val="05305A31"/>
    <w:rsid w:val="06C869C8"/>
    <w:rsid w:val="08D0379A"/>
    <w:rsid w:val="08D61FD9"/>
    <w:rsid w:val="092B22DB"/>
    <w:rsid w:val="0AF478AA"/>
    <w:rsid w:val="0B41409E"/>
    <w:rsid w:val="0D6C1DC7"/>
    <w:rsid w:val="0E4C448A"/>
    <w:rsid w:val="10D312E2"/>
    <w:rsid w:val="12C7719E"/>
    <w:rsid w:val="142510A2"/>
    <w:rsid w:val="168D4E6F"/>
    <w:rsid w:val="170B0890"/>
    <w:rsid w:val="177875C4"/>
    <w:rsid w:val="189D4A35"/>
    <w:rsid w:val="1A1F5619"/>
    <w:rsid w:val="1FDC67E8"/>
    <w:rsid w:val="21413973"/>
    <w:rsid w:val="21CA7B24"/>
    <w:rsid w:val="23B95C58"/>
    <w:rsid w:val="24877BE6"/>
    <w:rsid w:val="285F277F"/>
    <w:rsid w:val="29565866"/>
    <w:rsid w:val="29AB033B"/>
    <w:rsid w:val="2C1262D7"/>
    <w:rsid w:val="31F562A9"/>
    <w:rsid w:val="33AF2020"/>
    <w:rsid w:val="36892A35"/>
    <w:rsid w:val="387C21F8"/>
    <w:rsid w:val="430C7C26"/>
    <w:rsid w:val="46596120"/>
    <w:rsid w:val="4874509D"/>
    <w:rsid w:val="4A82507A"/>
    <w:rsid w:val="4CDC17DA"/>
    <w:rsid w:val="4D135FCA"/>
    <w:rsid w:val="4FAF442F"/>
    <w:rsid w:val="52797284"/>
    <w:rsid w:val="537875A9"/>
    <w:rsid w:val="553716BC"/>
    <w:rsid w:val="5D0352C4"/>
    <w:rsid w:val="5E92779F"/>
    <w:rsid w:val="68C465EE"/>
    <w:rsid w:val="6A9E0739"/>
    <w:rsid w:val="6ACE599F"/>
    <w:rsid w:val="6EA17EBB"/>
    <w:rsid w:val="73E57FB4"/>
    <w:rsid w:val="751B4ACA"/>
    <w:rsid w:val="76176F79"/>
    <w:rsid w:val="764C6708"/>
    <w:rsid w:val="77811D50"/>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spacing w:line="400" w:lineRule="atLeast"/>
      <w:jc w:val="center"/>
      <w:outlineLvl w:val="1"/>
    </w:pPr>
    <w:rPr>
      <w:spacing w:val="8"/>
      <w:sz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qFormat/>
    <w:uiPriority w:val="0"/>
    <w:rPr>
      <w:color w:val="800080"/>
      <w:u w:val="single"/>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styleId="15">
    <w:name w:val="List Paragraph"/>
    <w:basedOn w:val="1"/>
    <w:qFormat/>
    <w:uiPriority w:val="99"/>
    <w:pPr>
      <w:ind w:firstLine="420" w:firstLineChars="200"/>
    </w:pPr>
  </w:style>
  <w:style w:type="character" w:customStyle="1" w:styleId="16">
    <w:name w:val="apple-style-span"/>
    <w:basedOn w:val="8"/>
    <w:qFormat/>
    <w:uiPriority w:val="0"/>
  </w:style>
  <w:style w:type="paragraph" w:customStyle="1" w:styleId="17">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2</TotalTime>
  <ScaleCrop>false</ScaleCrop>
  <LinksUpToDate>false</LinksUpToDate>
  <CharactersWithSpaces>8808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肖新龙</cp:lastModifiedBy>
  <dcterms:modified xsi:type="dcterms:W3CDTF">2021-05-12T14:51:04Z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220ABF33C5124A8FAEF9AEC386C4F409</vt:lpwstr>
  </property>
</Properties>
</file>