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 xml:space="preserve"> 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49"/>
        <w:gridCol w:w="11"/>
        <w:gridCol w:w="745"/>
        <w:gridCol w:w="6"/>
        <w:gridCol w:w="9559"/>
        <w:gridCol w:w="125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1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1"/>
                <w:szCs w:val="21"/>
              </w:rPr>
              <w:t>财务部（仓储部）及现场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Cs w:val="21"/>
                <w:lang w:eastAsia="zh-CN"/>
              </w:rPr>
              <w:t>马朝军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49" w:type="dxa"/>
            <w:vMerge w:val="continue"/>
            <w:vAlign w:val="center"/>
          </w:tcPr>
          <w:p/>
        </w:tc>
        <w:tc>
          <w:tcPr>
            <w:tcW w:w="10321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1"/>
                <w:szCs w:val="21"/>
                <w:highlight w:val="none"/>
              </w:rPr>
              <w:t>林兵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highlight w:val="none"/>
              </w:rPr>
              <w:t>邝柏臣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(QFH)</w:t>
            </w:r>
            <w:r>
              <w:rPr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石帆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(QE)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1-05-09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49" w:type="dxa"/>
            <w:vMerge w:val="continue"/>
            <w:vAlign w:val="center"/>
          </w:tcPr>
          <w:p/>
        </w:tc>
        <w:tc>
          <w:tcPr>
            <w:tcW w:w="10321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6.2/8.5.4</w:t>
            </w:r>
          </w:p>
          <w:p>
            <w:pPr>
              <w:spacing w:line="300" w:lineRule="exact"/>
              <w:ind w:firstLine="1260" w:firstLineChars="6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E/O: 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6.1.2/6.1.4/6.2/8.1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F:5.3/6.2/8.2/8.3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H: 5.3/6.5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GB14881: 10</w:t>
            </w:r>
          </w:p>
          <w:p>
            <w:pPr>
              <w:ind w:firstLine="1260" w:firstLineChars="600"/>
              <w:rPr>
                <w:rFonts w:hint="eastAsia"/>
                <w:szCs w:val="22"/>
              </w:rPr>
            </w:pPr>
            <w:r>
              <w:rPr>
                <w:sz w:val="21"/>
                <w:szCs w:val="21"/>
              </w:rPr>
              <w:t>HACCP1.0要求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9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Q:5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="宋体" w:hAnsi="宋体" w:cs="Arial"/>
                <w:szCs w:val="21"/>
              </w:rPr>
              <w:t>3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EO:5.3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F：5.3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H：5.3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仓库管理员岗位职责</w:t>
            </w:r>
            <w:r>
              <w:rPr>
                <w:rFonts w:hint="eastAsia" w:ascii="宋体" w:hAnsi="宋体"/>
                <w:color w:val="auto"/>
                <w:lang w:eastAsia="zh-CN"/>
              </w:rPr>
              <w:t>》</w:t>
            </w:r>
          </w:p>
        </w:tc>
        <w:tc>
          <w:tcPr>
            <w:tcW w:w="1279" w:type="dxa"/>
            <w:gridSpan w:val="2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  <w:tc>
          <w:tcPr>
            <w:tcW w:w="9559" w:type="dxa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负责仓库管理，负责原辅料、包装材料、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劳保用品、化学品</w:t>
            </w:r>
            <w:r>
              <w:rPr>
                <w:rFonts w:hint="eastAsia" w:ascii="宋体" w:hAnsi="宋体"/>
                <w:szCs w:val="21"/>
              </w:rPr>
              <w:t>及其它物资的标识、搬运、储存、防护，负责仓库虫鼠害等的控制，负责库存物资的其它日常管理，做到出入库手续齐全，定期盘点，账、卡、物相符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等工作。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highlight w:val="cyan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Arial"/>
                <w:szCs w:val="21"/>
              </w:rPr>
              <w:t>目标</w:t>
            </w:r>
          </w:p>
        </w:tc>
        <w:tc>
          <w:tcPr>
            <w:tcW w:w="949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Q:6.2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EO:6.2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F:6.2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H：5.2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559" w:type="dxa"/>
          </w:tcPr>
          <w:p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如：手册第6.2条款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  <w:tc>
          <w:tcPr>
            <w:tcW w:w="9559" w:type="dxa"/>
          </w:tcPr>
          <w:p>
            <w:r>
              <w:rPr>
                <w:rFonts w:hint="eastAsia"/>
              </w:rPr>
              <w:t>组织建立了与方针一致的文件化的管理目标。为实现总目标而建立的各层级目标具体、有针对性、可测量并且可实现。</w:t>
            </w:r>
          </w:p>
          <w:p>
            <w:r>
              <w:rPr>
                <w:rFonts w:hint="eastAsia"/>
              </w:rPr>
              <w:t>总目标实现情况的评价，及其测量方法是：</w:t>
            </w:r>
          </w:p>
          <w:tbl>
            <w:tblPr>
              <w:tblStyle w:val="7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777"/>
              <w:gridCol w:w="2690"/>
              <w:gridCol w:w="3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96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无环保部认定的环境污染事件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每季度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无环保部认定的环境污染事件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296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固废按要求100%分类排放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每季度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按实际发生情况分类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66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无重大责任安全事故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21"/>
                    </w:rPr>
                    <w:t>食品安全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事故发生次数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触电伤亡事故为0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有无发生触电伤亡事故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Cs w:val="21"/>
                      <w:highlight w:val="none"/>
                    </w:rPr>
                    <w:t>原料验收准确率: ≥99%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每月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Cs w:val="21"/>
                      <w:highlight w:val="none"/>
                    </w:rPr>
                    <w:t>准确数 /验收总数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</w:rPr>
                    <w:t>1</w:t>
                  </w:r>
                  <w:r>
                    <w:rPr>
                      <w:color w:val="auto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auto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</w:rPr>
                    <w:t>一次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到货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</w:rPr>
                    <w:t>及时率：</w:t>
                  </w:r>
                  <w:r>
                    <w:rPr>
                      <w:rFonts w:ascii="宋体" w:hAnsi="宋体"/>
                      <w:color w:val="auto"/>
                      <w:szCs w:val="21"/>
                      <w:highlight w:val="none"/>
                    </w:rPr>
                    <w:t>≥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</w:rPr>
                    <w:t>99%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每月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/>
                      <w:color w:val="auto"/>
                      <w:szCs w:val="21"/>
                      <w:highlight w:val="none"/>
                    </w:rPr>
                    <w:t>准时批次/送货总批次</w:t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</w:rPr>
                    <w:t>1</w:t>
                  </w:r>
                  <w:r>
                    <w:rPr>
                      <w:color w:val="auto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auto"/>
                      <w:szCs w:val="18"/>
                      <w:highlight w:val="none"/>
                    </w:rPr>
                    <w:t>%</w:t>
                  </w:r>
                </w:p>
              </w:tc>
            </w:tr>
          </w:tbl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</w:t>
            </w:r>
            <w:r>
              <w:rPr>
                <w:rFonts w:hint="eastAsia" w:ascii="仿宋_GB2312" w:hAnsi="Adobe 仿宋 Std R" w:eastAsia="仿宋_GB2312"/>
                <w:b/>
                <w:sz w:val="24"/>
                <w:szCs w:val="24"/>
              </w:rPr>
              <w:t>环境因素和危险源辨识、评价和控制程序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对公司可控制或可施加影响的环境因素和危险源进行识别、评价，确定重要环境因素和重大风险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本部门</w:t>
            </w:r>
            <w:r>
              <w:rPr>
                <w:rFonts w:hint="eastAsia"/>
                <w:b/>
                <w:bCs/>
              </w:rPr>
              <w:t>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外购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废气（</w:t>
            </w:r>
            <w:r>
              <w:rPr>
                <w:rFonts w:hint="eastAsia"/>
                <w:color w:val="000000"/>
                <w:lang w:val="en-US" w:eastAsia="zh-CN"/>
              </w:rPr>
              <w:t>含油废气</w:t>
            </w:r>
            <w:r>
              <w:rPr>
                <w:rFonts w:hint="eastAsia"/>
                <w:color w:val="000000"/>
              </w:rPr>
              <w:t xml:space="preserve">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生活垃圾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仿宋_GB2312" w:hAnsi="Adobe 仿宋 Std R" w:eastAsia="仿宋_GB2312"/>
                <w:b/>
                <w:sz w:val="24"/>
                <w:szCs w:val="24"/>
              </w:rPr>
              <w:t>环境因素和危险源辨识、评价和控制程序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运行控制程序</w:t>
                  </w:r>
                </w:p>
                <w:p>
                  <w:pP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应急预案</w:t>
                  </w:r>
                </w:p>
                <w:p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管理措施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仓储部</w:t>
                  </w:r>
                </w:p>
              </w:tc>
            </w:tr>
          </w:tbl>
          <w:p/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565" w:type="dxa"/>
            <w:gridSpan w:val="2"/>
          </w:tcPr>
          <w:p>
            <w:pPr>
              <w:snapToGrid w:val="0"/>
              <w:spacing w:line="360" w:lineRule="auto"/>
              <w:jc w:val="both"/>
              <w:outlineLvl w:val="0"/>
            </w:pPr>
            <w:r>
              <w:rPr>
                <w:rFonts w:hint="eastAsia" w:ascii="仿宋_GB2312" w:hAnsi="Adobe 仿宋 Std R" w:eastAsia="仿宋_GB2312"/>
                <w:b/>
                <w:sz w:val="24"/>
                <w:szCs w:val="24"/>
              </w:rPr>
              <w:t>《环境因素和危险源辨识、评价和控制程序》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9"/>
              <w:gridCol w:w="2273"/>
              <w:gridCol w:w="4139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主要危险源</w:t>
                  </w:r>
                </w:p>
              </w:tc>
              <w:tc>
                <w:tcPr>
                  <w:tcW w:w="227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状态</w:t>
                  </w:r>
                </w:p>
              </w:tc>
              <w:tc>
                <w:tcPr>
                  <w:tcW w:w="413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控制措施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4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sz w:val="18"/>
                      <w:highlight w:val="none"/>
                    </w:rPr>
                    <w:t>卸车物品掉落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val="en-GB" w:eastAsia="zh-CN"/>
                    </w:rPr>
                  </w:pPr>
                  <w:r>
                    <w:rPr>
                      <w:rFonts w:hint="eastAsia" w:ascii="Times New Roman"/>
                      <w:sz w:val="20"/>
                      <w:highlight w:val="none"/>
                    </w:rPr>
                    <w:t>使用专业工具卸货</w:t>
                  </w:r>
                  <w:r>
                    <w:rPr>
                      <w:rFonts w:hint="eastAsia" w:ascii="Times New Roman"/>
                      <w:sz w:val="20"/>
                      <w:highlight w:val="none"/>
                      <w:lang w:eastAsia="zh-CN"/>
                    </w:rPr>
                    <w:t>、戴棉制手套防护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仓储部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</w:pPr>
                  <w:r>
                    <w:rPr>
                      <w:sz w:val="18"/>
                      <w:highlight w:val="none"/>
                    </w:rPr>
                    <w:t>搬运油压板车压脚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紧急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</w:pPr>
                  <w:r>
                    <w:rPr>
                      <w:rFonts w:hint="eastAsia" w:ascii="Times New Roman"/>
                      <w:sz w:val="20"/>
                      <w:highlight w:val="none"/>
                    </w:rPr>
                    <w:t>规范操作，合理使用车辆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仓储部</w:t>
                  </w:r>
                </w:p>
              </w:tc>
            </w:tr>
          </w:tbl>
          <w:p/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568"/>
              <w:gridCol w:w="405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、危险源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消防应急预案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</w:rPr>
                    <w:t>各项应急处置预案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仓储部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废水排放</w:t>
                  </w:r>
                  <w:r>
                    <w:rPr>
                      <w:rFonts w:hint="eastAsia"/>
                      <w:lang w:eastAsia="zh-CN"/>
                    </w:rPr>
                    <w:t>（生活污水）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直接排入市政管网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仓储部</w:t>
                  </w:r>
                </w:p>
              </w:tc>
            </w:tr>
          </w:tbl>
          <w:p/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H</w:t>
            </w:r>
            <w:r>
              <w:t>6.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r>
              <w:rPr>
                <w:rFonts w:hint="eastAsia"/>
              </w:rPr>
              <w:t>G</w:t>
            </w:r>
            <w:r>
              <w:t>B14881:10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5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符合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59" w:type="dxa"/>
            <w:shd w:val="clear" w:color="auto" w:fill="auto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仓库均关门上锁，现场有挡鼠板，粘鼠贴。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满足要求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不满足要求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见采购审核记录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提供有《粮油索证记录台账》、《调料索证台账》</w:t>
            </w:r>
          </w:p>
          <w:p>
            <w:pPr>
              <w:pStyle w:val="2"/>
              <w:ind w:firstLine="46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抽查：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《粮油索证记录台账》，</w:t>
            </w:r>
            <w:r>
              <w:rPr>
                <w:rFonts w:hint="eastAsia"/>
                <w:u w:val="single"/>
                <w:lang w:val="en-US" w:eastAsia="zh-CN"/>
              </w:rPr>
              <w:t>2021-04-28，盘锦大米，入库数量：100袋，每袋25kg，入库人：马狄钢。</w:t>
            </w:r>
          </w:p>
          <w:p>
            <w:pPr>
              <w:pStyle w:val="2"/>
              <w:ind w:firstLine="46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抽查《调料索证台账》</w:t>
            </w:r>
            <w:r>
              <w:rPr>
                <w:rFonts w:hint="eastAsia"/>
                <w:u w:val="single"/>
                <w:lang w:val="en-US" w:eastAsia="zh-CN"/>
              </w:rPr>
              <w:t>：2021-04-28，蜂蜜味精，入库数量：20袋，每袋2.5kg，入库人：马狄钢。</w:t>
            </w:r>
          </w:p>
          <w:p>
            <w:pPr>
              <w:pStyle w:val="2"/>
              <w:ind w:firstLine="46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抽查《调料索证台账》</w:t>
            </w:r>
            <w:r>
              <w:rPr>
                <w:rFonts w:hint="eastAsia"/>
                <w:u w:val="single"/>
                <w:lang w:val="en-US" w:eastAsia="zh-CN"/>
              </w:rPr>
              <w:t>：2021-04-24，花椒油，入库数量：2桶，每袋1.8L，入库人：马狄钢。</w:t>
            </w:r>
          </w:p>
          <w:p>
            <w:pPr>
              <w:pStyle w:val="2"/>
              <w:rPr>
                <w:rFonts w:hint="default"/>
                <w:highlight w:val="yellow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食品添加剂的管理：食品添加剂存放在食品添加剂柜内，并设置双锁；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抽查小苏打规格为250g/包，生产日期为2021年1月20日，保质期为12个月，在保质期之内；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化学品：现场查看化学品柜，化学品柜进行上锁管理，柜内有洗手液，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灭四害等化学品分类存放；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一次性餐具盒的管理：现场抽查铝箔盒，宁波时代铝箔科技股份有限公司，提供外检报告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提供优里胜邦质量检测（上海）有限公司的检测报告，报告编号：B70922046；报告日期2020年7月21日，检测项目为《食品安全国家标准 食品接触用金属材料及制品-铝及铝制品》GB4806.9-2016 、《食品安全国家标准 食品接触用涂料及涂层》 GB4806.10-2016 等</w:t>
            </w: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测试项目均合格。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进行分库管理：有干货库、调味品库、一次性餐盒库、厨具刀具库、化学品库、劳保用品库等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现场查察调味品库：对酱油、生抽等调味品放置于货架上，不同调味品均有分离；</w:t>
            </w: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现场查察干货库：干货均摆放在塑料卡板上，干货有分离。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/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H</w:t>
            </w:r>
            <w:r>
              <w:t>6.7.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59" w:type="dxa"/>
          </w:tcPr>
          <w:p>
            <w:r>
              <w:rPr>
                <w:rFonts w:hint="eastAsia"/>
              </w:rPr>
              <w:t>如：《产品/服务提供控制程序》或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仿宋_GB2312" w:hAnsi="Adobe 仿宋 Std R" w:eastAsia="仿宋_GB2312"/>
                <w:b/>
                <w:sz w:val="24"/>
                <w:szCs w:val="24"/>
                <w:highlight w:val="none"/>
              </w:rPr>
              <w:t>产品的标识、追溯、回收控制程序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</w:rPr>
              <w:t>、《产品留样制度》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符合 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59" w:type="dxa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</w:rPr>
              <w:t>组织于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1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验证和测试可追溯性体系的有效性。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追溯</w:t>
            </w:r>
            <w:r>
              <w:rPr>
                <w:rFonts w:hint="eastAsia"/>
                <w:highlight w:val="none"/>
              </w:rPr>
              <w:t>原因：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演练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质量事故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</w:t>
                  </w:r>
                  <w:r>
                    <w:rPr>
                      <w:rFonts w:hint="eastAsia"/>
                      <w:highlight w:val="none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</w:t>
                  </w:r>
                  <w:r>
                    <w:rPr>
                      <w:rFonts w:hint="eastAsia"/>
                      <w:highlight w:val="none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1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见食品安全小组审核记录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251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个月。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59" w:type="dxa"/>
          </w:tcPr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highlight w:val="none"/>
                <w:lang w:val="en-US" w:eastAsia="zh-CN"/>
              </w:rPr>
              <w:t>（不适用）</w:t>
            </w:r>
          </w:p>
          <w:p>
            <w:pPr>
              <w:rPr>
                <w:color w:val="0070C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在成品库房的标识情况：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区分清楚 </w:t>
            </w:r>
            <w:r>
              <w:rPr>
                <w:highlight w:val="none"/>
              </w:rPr>
              <w:t xml:space="preserve">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lang w:val="en-US" w:eastAsia="zh-CN"/>
              </w:rPr>
              <w:t>（不适用）</w:t>
            </w:r>
          </w:p>
          <w:p/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highlight w:val="none"/>
                <w:lang w:val="en-US" w:eastAsia="zh-CN"/>
              </w:rPr>
              <w:t>（不适用）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highlight w:val="none"/>
                <w:lang w:val="en-US" w:eastAsia="zh-CN"/>
              </w:rPr>
              <w:t>（不适用）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EO8.1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《食品贮存管理制度》</w:t>
            </w:r>
          </w:p>
        </w:tc>
        <w:tc>
          <w:tcPr>
            <w:tcW w:w="127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冷藏柜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保鲜库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常温库 </w:t>
            </w:r>
          </w:p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  <w:p>
            <w:r>
              <w:rPr>
                <w:rFonts w:hint="eastAsia"/>
              </w:rPr>
              <w:t>是否有MSDS：</w:t>
            </w:r>
            <w:r>
              <w:t>有</w:t>
            </w: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 xml:space="preserve">常温库房管理：抽查货品名称：  </w:t>
            </w:r>
            <w:r>
              <w:rPr>
                <w:u w:val="single"/>
              </w:rPr>
              <w:t>大米</w:t>
            </w:r>
            <w:r>
              <w:rPr>
                <w:rFonts w:hint="eastAsia"/>
                <w:u w:val="single"/>
                <w:lang w:eastAsia="zh-CN"/>
              </w:rPr>
              <w:t>、面粉、食用油、</w:t>
            </w:r>
            <w:r>
              <w:rPr>
                <w:rFonts w:hint="eastAsia"/>
                <w:u w:val="single"/>
                <w:lang w:val="en-US" w:eastAsia="zh-CN"/>
              </w:rPr>
              <w:t>大豆、白砂糖等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存放于栈板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储存温度 </w:t>
            </w:r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t>38</w:t>
            </w:r>
            <w:r>
              <w:rPr>
                <w:rFonts w:hint="eastAsia"/>
              </w:rPr>
              <w:t xml:space="preserve">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before="120" w:line="1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现场配备</w:t>
            </w:r>
            <w:r>
              <w:rPr>
                <w:rFonts w:hint="eastAsia"/>
                <w:lang w:val="en-US" w:eastAsia="zh-CN"/>
              </w:rPr>
              <w:t>了消防栓和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状态正常。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常温库房管理：抽查货品名称：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咖喱粉、海天蚝油、白醋、香辣酱等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存放于栈板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储存温度 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 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 xml:space="preserve">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before="120" w:line="1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现场配备</w:t>
            </w:r>
            <w:r>
              <w:rPr>
                <w:rFonts w:hint="eastAsia"/>
                <w:lang w:val="en-US" w:eastAsia="zh-CN"/>
              </w:rPr>
              <w:t>了消防栓和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状态正常。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常温库房管理：抽查货品名称：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手套、雨鞋、围裙等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存放于</w:t>
            </w:r>
            <w:r>
              <w:rPr>
                <w:rFonts w:hint="eastAsia"/>
                <w:lang w:eastAsia="zh-CN"/>
              </w:rPr>
              <w:t>货架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before="120" w:line="1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现场配备</w:t>
            </w:r>
            <w:r>
              <w:rPr>
                <w:rFonts w:hint="eastAsia"/>
                <w:lang w:val="en-US" w:eastAsia="zh-CN"/>
              </w:rPr>
              <w:t>了消防栓和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状态正常。</w:t>
            </w:r>
          </w:p>
          <w:p>
            <w:pPr>
              <w:pStyle w:val="2"/>
              <w:rPr>
                <w:rFonts w:hint="eastAsia"/>
                <w:b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9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过敏原的管理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59" w:type="dxa"/>
          </w:tcPr>
          <w:p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致敏物质管理控制程序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/>
        </w:tc>
        <w:tc>
          <w:tcPr>
            <w:tcW w:w="125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20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59" w:type="dxa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牛</w:t>
            </w:r>
            <w:r>
              <w:rPr>
                <w:rFonts w:hint="eastAsia"/>
              </w:rPr>
              <w:t>奶；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坚果；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鱼；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虾；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蛋；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大豆；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花生；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小麦；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原材料；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仓储；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运输；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hint="eastAsia"/>
              </w:rPr>
              <w:t>加工中交叉污染；</w:t>
            </w:r>
            <w:r>
              <w:rPr>
                <w:rFonts w:hint="eastAsia" w:ascii="宋体" w:hAnsi="宋体"/>
                <w:szCs w:val="21"/>
              </w:rPr>
              <w:t>☑人员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 xml:space="preserve">□     </w:t>
            </w:r>
            <w:r>
              <w:rPr>
                <w:rFonts w:hint="eastAsia"/>
              </w:rPr>
              <w:t>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hint="eastAsia" w:ascii="宋体" w:hAnsi="宋体"/>
                <w:szCs w:val="21"/>
              </w:rPr>
              <w:t>□有效   ☑基本有效    □效果欠佳，需要改进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</w:t>
            </w:r>
            <w:r>
              <w:rPr>
                <w:rFonts w:hint="eastAsia" w:ascii="宋体" w:hAnsi="宋体"/>
                <w:szCs w:val="21"/>
              </w:rPr>
              <w:t>□通过检测没有发现过敏物质；☑无需检测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致敏物质的标识：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明显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比较明显 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不明显，需要改进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建议增加标识牌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本企业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牛奶、鱼、</w:t>
            </w:r>
            <w:r>
              <w:rPr>
                <w:rFonts w:hint="eastAsia"/>
                <w:u w:val="single"/>
              </w:rPr>
              <w:t>虾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、</w:t>
            </w:r>
            <w:r>
              <w:rPr>
                <w:rFonts w:hint="eastAsia"/>
                <w:u w:val="single"/>
              </w:rPr>
              <w:t>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、</w:t>
            </w:r>
            <w:r>
              <w:rPr>
                <w:rFonts w:hint="eastAsia"/>
                <w:u w:val="single"/>
              </w:rPr>
              <w:t>大豆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、</w:t>
            </w:r>
            <w:r>
              <w:rPr>
                <w:rFonts w:hint="eastAsia"/>
                <w:u w:val="single"/>
              </w:rPr>
              <w:t>花生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、</w:t>
            </w:r>
            <w:r>
              <w:rPr>
                <w:rFonts w:hint="eastAsia"/>
                <w:u w:val="single"/>
              </w:rPr>
              <w:t>小麦</w:t>
            </w:r>
            <w:r>
              <w:rPr>
                <w:rFonts w:hint="eastAsia" w:ascii="宋体" w:hAnsi="宋体"/>
                <w:szCs w:val="21"/>
              </w:rPr>
              <w:t>属于过敏原的范畴。</w:t>
            </w:r>
          </w:p>
        </w:tc>
        <w:tc>
          <w:tcPr>
            <w:tcW w:w="1257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食品欺诈的控制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59" w:type="dxa"/>
          </w:tcPr>
          <w:p>
            <w:r>
              <w:rPr>
                <w:rFonts w:hint="eastAsia" w:ascii="宋体" w:hAnsi="宋体"/>
                <w:szCs w:val="21"/>
              </w:rPr>
              <w:t>□《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hint="eastAsia" w:ascii="宋体" w:hAnsi="宋体"/>
                <w:szCs w:val="21"/>
              </w:rPr>
              <w:t>控制程序》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食品欺诈脆弱性评估程序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、□</w:t>
            </w:r>
            <w:r>
              <w:rPr>
                <w:rFonts w:hint="eastAsia" w:ascii="宋体" w:hAnsi="宋体"/>
                <w:szCs w:val="21"/>
              </w:rPr>
              <w:t>预防和消除食品欺诈程序</w:t>
            </w:r>
          </w:p>
        </w:tc>
        <w:tc>
          <w:tcPr>
            <w:tcW w:w="125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562" w:hRule="atLeast"/>
        </w:trPr>
        <w:tc>
          <w:tcPr>
            <w:tcW w:w="216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59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a）识别潜在的脆弱环节；</w:t>
            </w:r>
            <w:r>
              <w:rPr>
                <w:rFonts w:hint="eastAsia"/>
                <w:u w:val="single"/>
              </w:rPr>
              <w:t xml:space="preserve">  《食品欺诈预防计划确认记录》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jc w:val="left"/>
            </w:pPr>
            <w:r>
              <w:rPr>
                <w:rFonts w:hint="eastAsia"/>
              </w:rPr>
              <w:t>b）制定预防食品欺诈的措施；</w:t>
            </w:r>
            <w:r>
              <w:rPr>
                <w:rFonts w:hint="eastAsia" w:ascii="宋体" w:hAnsi="宋体"/>
                <w:szCs w:val="21"/>
              </w:rPr>
              <w:t>□有效   ☑基本有效    □效果欠佳，需要改进</w:t>
            </w:r>
          </w:p>
          <w:p>
            <w:pPr>
              <w:jc w:val="left"/>
            </w:pPr>
            <w:r>
              <w:rPr>
                <w:rFonts w:hint="eastAsia"/>
              </w:rPr>
              <w:t>c）根据脆弱性，对措施的优先顺序进行排序。</w:t>
            </w:r>
            <w:r>
              <w:rPr>
                <w:rFonts w:hint="eastAsia" w:ascii="宋体" w:hAnsi="宋体"/>
                <w:szCs w:val="21"/>
              </w:rPr>
              <w:t>□有效   ☑基本有效    □效果欠佳，需要改进</w:t>
            </w:r>
          </w:p>
          <w:p>
            <w:pPr>
              <w:jc w:val="left"/>
            </w:pPr>
            <w:r>
              <w:rPr>
                <w:rFonts w:hint="eastAsia"/>
              </w:rPr>
              <w:t>d）控制措施进行定期确认和验证：</w:t>
            </w:r>
            <w:r>
              <w:rPr>
                <w:rFonts w:hint="eastAsia" w:ascii="宋体" w:hAnsi="宋体"/>
                <w:szCs w:val="21"/>
              </w:rPr>
              <w:t>□有效   ☑基本有效    □效果欠佳，需要改进；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7" w:type="dxa"/>
            <w:vMerge w:val="continue"/>
            <w:tcBorders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5446"/>
    <w:rsid w:val="000237F6"/>
    <w:rsid w:val="0003373A"/>
    <w:rsid w:val="000400E2"/>
    <w:rsid w:val="000557AD"/>
    <w:rsid w:val="00062E46"/>
    <w:rsid w:val="00085FE9"/>
    <w:rsid w:val="00091413"/>
    <w:rsid w:val="000A58E7"/>
    <w:rsid w:val="000B710C"/>
    <w:rsid w:val="000B7B2F"/>
    <w:rsid w:val="000E6B21"/>
    <w:rsid w:val="00101200"/>
    <w:rsid w:val="001126B5"/>
    <w:rsid w:val="001462D5"/>
    <w:rsid w:val="00177EBA"/>
    <w:rsid w:val="001A2D7F"/>
    <w:rsid w:val="001B2BD1"/>
    <w:rsid w:val="001B3243"/>
    <w:rsid w:val="001E0526"/>
    <w:rsid w:val="001E459D"/>
    <w:rsid w:val="002021F0"/>
    <w:rsid w:val="002559F8"/>
    <w:rsid w:val="00272151"/>
    <w:rsid w:val="00274E7C"/>
    <w:rsid w:val="002879DE"/>
    <w:rsid w:val="002939AD"/>
    <w:rsid w:val="002C304A"/>
    <w:rsid w:val="00314AF6"/>
    <w:rsid w:val="00337922"/>
    <w:rsid w:val="00340867"/>
    <w:rsid w:val="00360D1B"/>
    <w:rsid w:val="00380837"/>
    <w:rsid w:val="00384D00"/>
    <w:rsid w:val="00394F88"/>
    <w:rsid w:val="003A198A"/>
    <w:rsid w:val="003E0F0E"/>
    <w:rsid w:val="00407C6B"/>
    <w:rsid w:val="00410914"/>
    <w:rsid w:val="00413B65"/>
    <w:rsid w:val="004177C7"/>
    <w:rsid w:val="00434FD3"/>
    <w:rsid w:val="00435894"/>
    <w:rsid w:val="00441050"/>
    <w:rsid w:val="00442C70"/>
    <w:rsid w:val="004724DC"/>
    <w:rsid w:val="0048201E"/>
    <w:rsid w:val="00482739"/>
    <w:rsid w:val="004923E7"/>
    <w:rsid w:val="0049396E"/>
    <w:rsid w:val="004E6D61"/>
    <w:rsid w:val="004F71EC"/>
    <w:rsid w:val="00523D7D"/>
    <w:rsid w:val="00536930"/>
    <w:rsid w:val="00553344"/>
    <w:rsid w:val="0055575E"/>
    <w:rsid w:val="005649FB"/>
    <w:rsid w:val="00564E53"/>
    <w:rsid w:val="00590164"/>
    <w:rsid w:val="005905B7"/>
    <w:rsid w:val="00595C07"/>
    <w:rsid w:val="005A3464"/>
    <w:rsid w:val="005B4176"/>
    <w:rsid w:val="005B77BB"/>
    <w:rsid w:val="005C2A6B"/>
    <w:rsid w:val="005D5659"/>
    <w:rsid w:val="005F36B5"/>
    <w:rsid w:val="00600C20"/>
    <w:rsid w:val="00641DC7"/>
    <w:rsid w:val="00644FE2"/>
    <w:rsid w:val="00654D21"/>
    <w:rsid w:val="00662D98"/>
    <w:rsid w:val="0067640C"/>
    <w:rsid w:val="006E678B"/>
    <w:rsid w:val="006E7B1D"/>
    <w:rsid w:val="00707233"/>
    <w:rsid w:val="00711F86"/>
    <w:rsid w:val="007627F8"/>
    <w:rsid w:val="007757F3"/>
    <w:rsid w:val="00775C00"/>
    <w:rsid w:val="00776B62"/>
    <w:rsid w:val="007A3429"/>
    <w:rsid w:val="007C1B48"/>
    <w:rsid w:val="007E3B15"/>
    <w:rsid w:val="007E6AEB"/>
    <w:rsid w:val="007F2E46"/>
    <w:rsid w:val="00835CD1"/>
    <w:rsid w:val="008732A1"/>
    <w:rsid w:val="008973EE"/>
    <w:rsid w:val="008B659B"/>
    <w:rsid w:val="008B7A73"/>
    <w:rsid w:val="008B7E7B"/>
    <w:rsid w:val="008D0021"/>
    <w:rsid w:val="008E0C1F"/>
    <w:rsid w:val="008E227F"/>
    <w:rsid w:val="00915F4F"/>
    <w:rsid w:val="00947553"/>
    <w:rsid w:val="009553BD"/>
    <w:rsid w:val="00971600"/>
    <w:rsid w:val="00977673"/>
    <w:rsid w:val="00992EA8"/>
    <w:rsid w:val="009973B4"/>
    <w:rsid w:val="009C28C1"/>
    <w:rsid w:val="009E6316"/>
    <w:rsid w:val="009F7EED"/>
    <w:rsid w:val="00A17BF5"/>
    <w:rsid w:val="00A510EC"/>
    <w:rsid w:val="00A7028B"/>
    <w:rsid w:val="00A80636"/>
    <w:rsid w:val="00AE46F3"/>
    <w:rsid w:val="00AF0AAB"/>
    <w:rsid w:val="00B2084E"/>
    <w:rsid w:val="00B67816"/>
    <w:rsid w:val="00BA38C3"/>
    <w:rsid w:val="00BF597E"/>
    <w:rsid w:val="00C14F0B"/>
    <w:rsid w:val="00C25E86"/>
    <w:rsid w:val="00C33819"/>
    <w:rsid w:val="00C430AA"/>
    <w:rsid w:val="00C51A36"/>
    <w:rsid w:val="00C55228"/>
    <w:rsid w:val="00C55584"/>
    <w:rsid w:val="00C620CE"/>
    <w:rsid w:val="00C62338"/>
    <w:rsid w:val="00C63768"/>
    <w:rsid w:val="00C77034"/>
    <w:rsid w:val="00CC338F"/>
    <w:rsid w:val="00CC3D40"/>
    <w:rsid w:val="00CD403A"/>
    <w:rsid w:val="00CE315A"/>
    <w:rsid w:val="00D06F59"/>
    <w:rsid w:val="00D22407"/>
    <w:rsid w:val="00D8388C"/>
    <w:rsid w:val="00DC7F59"/>
    <w:rsid w:val="00DE7B56"/>
    <w:rsid w:val="00E25A30"/>
    <w:rsid w:val="00E50924"/>
    <w:rsid w:val="00E55B90"/>
    <w:rsid w:val="00E6224C"/>
    <w:rsid w:val="00E65D77"/>
    <w:rsid w:val="00E7598C"/>
    <w:rsid w:val="00E842FF"/>
    <w:rsid w:val="00E93C9B"/>
    <w:rsid w:val="00E956F5"/>
    <w:rsid w:val="00EA37D1"/>
    <w:rsid w:val="00EA695D"/>
    <w:rsid w:val="00EB0164"/>
    <w:rsid w:val="00ED0F62"/>
    <w:rsid w:val="00EE162B"/>
    <w:rsid w:val="00F120EC"/>
    <w:rsid w:val="00F2468C"/>
    <w:rsid w:val="00F27E98"/>
    <w:rsid w:val="00F51DFC"/>
    <w:rsid w:val="00F566AC"/>
    <w:rsid w:val="00F60C28"/>
    <w:rsid w:val="00F629C4"/>
    <w:rsid w:val="00F73155"/>
    <w:rsid w:val="00F735B7"/>
    <w:rsid w:val="00FA6107"/>
    <w:rsid w:val="00FE491F"/>
    <w:rsid w:val="00FE624E"/>
    <w:rsid w:val="00FF4C70"/>
    <w:rsid w:val="01260C71"/>
    <w:rsid w:val="0148246F"/>
    <w:rsid w:val="01B97AED"/>
    <w:rsid w:val="01BB3069"/>
    <w:rsid w:val="01CE4435"/>
    <w:rsid w:val="01E27364"/>
    <w:rsid w:val="01F72228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883DB3"/>
    <w:rsid w:val="04981EC9"/>
    <w:rsid w:val="04C420B7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700448C"/>
    <w:rsid w:val="070C6309"/>
    <w:rsid w:val="071261A2"/>
    <w:rsid w:val="07A565CE"/>
    <w:rsid w:val="07C13D29"/>
    <w:rsid w:val="07ED0401"/>
    <w:rsid w:val="07EF616D"/>
    <w:rsid w:val="07F5731B"/>
    <w:rsid w:val="080A564D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6F08C6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8009B8"/>
    <w:rsid w:val="0C842FD4"/>
    <w:rsid w:val="0CA27A29"/>
    <w:rsid w:val="0CC102DA"/>
    <w:rsid w:val="0CC85F41"/>
    <w:rsid w:val="0CC87248"/>
    <w:rsid w:val="0CD5463E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538CB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0ED6444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4B8"/>
    <w:rsid w:val="15051B66"/>
    <w:rsid w:val="1505218A"/>
    <w:rsid w:val="151414F9"/>
    <w:rsid w:val="154C7AB0"/>
    <w:rsid w:val="15597511"/>
    <w:rsid w:val="155F4281"/>
    <w:rsid w:val="156F663C"/>
    <w:rsid w:val="15770A50"/>
    <w:rsid w:val="157B48F2"/>
    <w:rsid w:val="15B265C1"/>
    <w:rsid w:val="15B5072B"/>
    <w:rsid w:val="15BC540D"/>
    <w:rsid w:val="160D3D01"/>
    <w:rsid w:val="16210B83"/>
    <w:rsid w:val="16583F2B"/>
    <w:rsid w:val="1659703F"/>
    <w:rsid w:val="16AB3CAD"/>
    <w:rsid w:val="16E341B9"/>
    <w:rsid w:val="16F10A78"/>
    <w:rsid w:val="17226BDD"/>
    <w:rsid w:val="17446813"/>
    <w:rsid w:val="177551EA"/>
    <w:rsid w:val="178419DC"/>
    <w:rsid w:val="178D54E1"/>
    <w:rsid w:val="179B1D36"/>
    <w:rsid w:val="17C079EC"/>
    <w:rsid w:val="17C85124"/>
    <w:rsid w:val="17F76BA3"/>
    <w:rsid w:val="18086A43"/>
    <w:rsid w:val="18256A77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476C5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2241D4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B61A2E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8538A"/>
    <w:rsid w:val="1FF16224"/>
    <w:rsid w:val="1FFA7E0A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9F2219"/>
    <w:rsid w:val="20A511F6"/>
    <w:rsid w:val="20A856C1"/>
    <w:rsid w:val="20BE1D38"/>
    <w:rsid w:val="20CD6F91"/>
    <w:rsid w:val="20E1795A"/>
    <w:rsid w:val="20FC30A5"/>
    <w:rsid w:val="219F673B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2CE3BA1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19537A"/>
    <w:rsid w:val="258041F6"/>
    <w:rsid w:val="258609CC"/>
    <w:rsid w:val="25B809C4"/>
    <w:rsid w:val="25E40E30"/>
    <w:rsid w:val="25ED68F6"/>
    <w:rsid w:val="25F910DB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CF15FE"/>
    <w:rsid w:val="27D42EE9"/>
    <w:rsid w:val="27E10A81"/>
    <w:rsid w:val="27FE6486"/>
    <w:rsid w:val="280B3F2E"/>
    <w:rsid w:val="280D1E20"/>
    <w:rsid w:val="28341F0D"/>
    <w:rsid w:val="2849441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2C2704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5F09D9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374EE6"/>
    <w:rsid w:val="3640586E"/>
    <w:rsid w:val="364A3F09"/>
    <w:rsid w:val="367A501B"/>
    <w:rsid w:val="369E57D4"/>
    <w:rsid w:val="36C91110"/>
    <w:rsid w:val="36E372C1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B75B3B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AB460B"/>
    <w:rsid w:val="3DDA7DB2"/>
    <w:rsid w:val="3DE86112"/>
    <w:rsid w:val="3E342793"/>
    <w:rsid w:val="3E3C5235"/>
    <w:rsid w:val="3EA34B57"/>
    <w:rsid w:val="3EAE09CE"/>
    <w:rsid w:val="3EEB53CB"/>
    <w:rsid w:val="3EEF1E6E"/>
    <w:rsid w:val="3F532B3A"/>
    <w:rsid w:val="3F654598"/>
    <w:rsid w:val="3F8E03C8"/>
    <w:rsid w:val="3FC72695"/>
    <w:rsid w:val="3FD70A70"/>
    <w:rsid w:val="403F19EE"/>
    <w:rsid w:val="40571F31"/>
    <w:rsid w:val="40654B64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4B54780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00F66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D2365B"/>
    <w:rsid w:val="4CF204A3"/>
    <w:rsid w:val="4D0F484F"/>
    <w:rsid w:val="4D352804"/>
    <w:rsid w:val="4D374D03"/>
    <w:rsid w:val="4D4C2C0D"/>
    <w:rsid w:val="4D4D529E"/>
    <w:rsid w:val="4D791805"/>
    <w:rsid w:val="4D8F2F88"/>
    <w:rsid w:val="4D910E42"/>
    <w:rsid w:val="4DB86BCB"/>
    <w:rsid w:val="4DB95748"/>
    <w:rsid w:val="4DD85058"/>
    <w:rsid w:val="4DED6ED9"/>
    <w:rsid w:val="4DFF239E"/>
    <w:rsid w:val="4E0166A9"/>
    <w:rsid w:val="4E1551DB"/>
    <w:rsid w:val="4E170EFC"/>
    <w:rsid w:val="4E4171FA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4FD0268F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332E1"/>
    <w:rsid w:val="53660E02"/>
    <w:rsid w:val="536F60C1"/>
    <w:rsid w:val="53953BE7"/>
    <w:rsid w:val="53DB2F56"/>
    <w:rsid w:val="53E0764E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6F5401"/>
    <w:rsid w:val="57A14CB5"/>
    <w:rsid w:val="57A6303F"/>
    <w:rsid w:val="57F55B90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164D6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175BAF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E90259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DD2116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931F8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4614DC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6A45BB"/>
    <w:rsid w:val="6D792112"/>
    <w:rsid w:val="6DA004EB"/>
    <w:rsid w:val="6DE309B5"/>
    <w:rsid w:val="6DF8116A"/>
    <w:rsid w:val="6E641038"/>
    <w:rsid w:val="6EB36C33"/>
    <w:rsid w:val="6EBD0EA6"/>
    <w:rsid w:val="6EBF38BA"/>
    <w:rsid w:val="6ED46237"/>
    <w:rsid w:val="6F2E7208"/>
    <w:rsid w:val="6F435405"/>
    <w:rsid w:val="6F4810D8"/>
    <w:rsid w:val="6F6D2BAA"/>
    <w:rsid w:val="6F7C3054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4F10EC"/>
    <w:rsid w:val="745B622A"/>
    <w:rsid w:val="753E2D2E"/>
    <w:rsid w:val="753F2F7D"/>
    <w:rsid w:val="75A744DB"/>
    <w:rsid w:val="75BF642F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44EE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7E1E7E"/>
    <w:rsid w:val="7CB31FBB"/>
    <w:rsid w:val="7CEC5EE7"/>
    <w:rsid w:val="7CF04E00"/>
    <w:rsid w:val="7D41026F"/>
    <w:rsid w:val="7D59343F"/>
    <w:rsid w:val="7D67119E"/>
    <w:rsid w:val="7D6C098F"/>
    <w:rsid w:val="7DA65D72"/>
    <w:rsid w:val="7DD43EF1"/>
    <w:rsid w:val="7DE208A3"/>
    <w:rsid w:val="7DFE7906"/>
    <w:rsid w:val="7E0A78B3"/>
    <w:rsid w:val="7E2912F3"/>
    <w:rsid w:val="7E6305EF"/>
    <w:rsid w:val="7E8D50F9"/>
    <w:rsid w:val="7EBA6AA6"/>
    <w:rsid w:val="7EBC144B"/>
    <w:rsid w:val="7ED713AA"/>
    <w:rsid w:val="7EDA5201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39325-F69F-4E98-8127-C1E470EE0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1663</Words>
  <Characters>9482</Characters>
  <Lines>79</Lines>
  <Paragraphs>22</Paragraphs>
  <TotalTime>3</TotalTime>
  <ScaleCrop>false</ScaleCrop>
  <LinksUpToDate>false</LinksUpToDate>
  <CharactersWithSpaces>11123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2020-11-09T01:31:00Z</dcterms:created>
  <dc:creator>微软用户</dc:creator>
  <cp:lastModifiedBy>肖新龙</cp:lastModifiedBy>
  <dcterms:modified xsi:type="dcterms:W3CDTF">2021-05-10T17:46:01Z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B94665B0FC9543F98129601FBDC23983</vt:lpwstr>
  </property>
</Properties>
</file>