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892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667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受审核部门：综合管理部（配送、工程、客服）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冯志伟</w:t>
            </w:r>
          </w:p>
        </w:tc>
        <w:tc>
          <w:tcPr>
            <w:tcW w:w="1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667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林兵（QEO）、肖新龙（FH）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21-05-08</w:t>
            </w:r>
          </w:p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66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6.2/7.4/8.2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9.1.2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E/O:5.3/ 6.1.2/6.1.4/6.2/7.4/8.1/ 8.2/</w:t>
            </w:r>
          </w:p>
          <w:p>
            <w:pPr>
              <w:spacing w:line="3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:5.3/6.2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sz w:val="21"/>
                <w:szCs w:val="21"/>
              </w:rPr>
              <w:t>GB14881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条款内容</w:t>
            </w:r>
          </w:p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岗位职责、权限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E5.3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O5.3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F5.3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H5.3</w:t>
            </w:r>
          </w:p>
        </w:tc>
        <w:tc>
          <w:tcPr>
            <w:tcW w:w="9667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主要负责：车辆管理、餐食配送、销售合同的签订、评审、客户订单管理、客户的满意度回访、基础设备设施维修等工作。</w:t>
            </w:r>
          </w:p>
          <w:p>
            <w:pPr>
              <w:pStyle w:val="2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本部门涉及工程的职责主要是生产部（中心厨房）的基础设施设备维修的管理（见（生产部（中心厨房）审核记录））和各门店的管理，其中各门店的管理不在本次管理体系认证范围内。</w:t>
            </w:r>
          </w:p>
        </w:tc>
        <w:tc>
          <w:tcPr>
            <w:tcW w:w="1922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Q6.2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E6.2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O6.2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H5.2</w:t>
            </w:r>
          </w:p>
          <w:p>
            <w:pPr>
              <w:pStyle w:val="2"/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9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组织建立了与方针一致的文件化的管理目标。为实现总目标而建立的各层级目标具体、有针对性、可测量并且可实现。</w:t>
            </w:r>
          </w:p>
          <w:p>
            <w:r>
              <w:rPr>
                <w:rFonts w:hint="eastAsia"/>
              </w:rPr>
              <w:t>总目标实现情况的评价，及其测量方法是：</w:t>
            </w:r>
          </w:p>
          <w:tbl>
            <w:tblPr>
              <w:tblStyle w:val="8"/>
              <w:tblW w:w="8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9"/>
              <w:gridCol w:w="2740"/>
              <w:gridCol w:w="1823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0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274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计算方法</w:t>
                  </w:r>
                </w:p>
              </w:tc>
              <w:tc>
                <w:tcPr>
                  <w:tcW w:w="182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目标实际完成</w:t>
                  </w:r>
                </w:p>
                <w:p>
                  <w:r>
                    <w:rPr>
                      <w:rFonts w:hint="eastAsia"/>
                    </w:rPr>
                    <w:t>（季度）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顾客满意率</w:t>
                  </w: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t>0</w:t>
                  </w:r>
                  <w:r>
                    <w:rPr>
                      <w:rFonts w:hint="eastAsia"/>
                    </w:rPr>
                    <w:t>％以上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顾客满意度调查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GB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市场安全投诉为0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品质投诉率≤0.1%，最多不得超过10份/月；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固废按要求100%分类排放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实际分类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</w:tcPr>
                <w:p/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/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/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因公司调整组织架构，部门名称在目标中描述有不一致情况，已现场沟通，在完善中。</w:t>
            </w:r>
          </w:p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892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  <w:r>
              <w:rPr>
                <w:rFonts w:ascii="宋体" w:hAnsi="宋体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手册第6.1.2条款、</w:t>
            </w:r>
            <w:r>
              <w:rPr>
                <w:rFonts w:ascii="宋体" w:hAnsi="宋体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</w:rPr>
              <w:t>《环境因素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和危险源辨识、评价和控制程序</w:t>
            </w:r>
            <w:r>
              <w:rPr>
                <w:rFonts w:hint="eastAsia" w:ascii="宋体" w:hAnsi="宋体"/>
                <w:kern w:val="0"/>
                <w:szCs w:val="21"/>
              </w:rPr>
              <w:t>》</w:t>
            </w:r>
          </w:p>
        </w:tc>
        <w:tc>
          <w:tcPr>
            <w:tcW w:w="1922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产品使用 </w:t>
            </w:r>
          </w:p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废气（</w:t>
            </w:r>
            <w:r>
              <w:rPr>
                <w:rFonts w:hint="eastAsia"/>
                <w:color w:val="000000"/>
                <w:lang w:val="en-US" w:eastAsia="zh-CN"/>
              </w:rPr>
              <w:t>油烟排放</w:t>
            </w:r>
            <w:r>
              <w:rPr>
                <w:rFonts w:hint="eastAsia"/>
                <w:color w:val="000000"/>
              </w:rPr>
              <w:t xml:space="preserve">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危险化学品引起的环境影响：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泄露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燃烧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爆炸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火灾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评价重要环境因素的准则：《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环境因素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>和危险源辨识、评价和控制程序</w:t>
            </w:r>
            <w:r>
              <w:rPr>
                <w:rFonts w:hint="eastAsia"/>
              </w:rPr>
              <w:t>》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2505"/>
              <w:gridCol w:w="21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有毒有害废弃物的废弃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2505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运行控制程序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</w:pPr>
                  <w:r>
                    <w:rPr>
                      <w:rFonts w:hint="eastAsia"/>
                    </w:rPr>
                    <w:t>管理措施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火灾的发生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250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运行控制程序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应急预案</w:t>
                  </w:r>
                </w:p>
                <w:p>
                  <w:r>
                    <w:rPr>
                      <w:rFonts w:hint="eastAsia"/>
                    </w:rPr>
                    <w:t>管理措施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废水排放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250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运行控制程序</w:t>
                  </w:r>
                </w:p>
                <w:p>
                  <w:pPr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管理措施</w:t>
                  </w:r>
                </w:p>
              </w:tc>
              <w:tc>
                <w:tcPr>
                  <w:tcW w:w="212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废气排放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250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运行控制程序</w:t>
                  </w:r>
                </w:p>
                <w:p>
                  <w:pPr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管理措施</w:t>
                  </w:r>
                </w:p>
              </w:tc>
              <w:tc>
                <w:tcPr>
                  <w:tcW w:w="2121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</w:t>
                  </w:r>
                </w:p>
              </w:tc>
            </w:tr>
          </w:tbl>
          <w:p/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</w:rPr>
              <w:t>《环境因素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和危险源辨识、评价和控制程序</w:t>
            </w:r>
            <w:r>
              <w:rPr>
                <w:rFonts w:hint="eastAsia" w:ascii="宋体" w:hAnsi="宋体"/>
                <w:kern w:val="0"/>
                <w:szCs w:val="21"/>
              </w:rPr>
              <w:t>》</w:t>
            </w:r>
          </w:p>
        </w:tc>
        <w:tc>
          <w:tcPr>
            <w:tcW w:w="1922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tbl>
            <w:tblPr>
              <w:tblStyle w:val="8"/>
              <w:tblW w:w="8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5"/>
              <w:gridCol w:w="2173"/>
              <w:gridCol w:w="3344"/>
              <w:gridCol w:w="16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</w:trPr>
              <w:tc>
                <w:tcPr>
                  <w:tcW w:w="1395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主要危险源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状态</w:t>
                  </w:r>
                </w:p>
              </w:tc>
              <w:tc>
                <w:tcPr>
                  <w:tcW w:w="334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控制措施</w:t>
                  </w:r>
                </w:p>
              </w:tc>
              <w:tc>
                <w:tcPr>
                  <w:tcW w:w="1646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3" w:hRule="atLeast"/>
              </w:trPr>
              <w:tc>
                <w:tcPr>
                  <w:tcW w:w="139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val="en-US" w:eastAsia="zh-CN"/>
                    </w:rPr>
                    <w:t>人身伤害</w:t>
                  </w:r>
                </w:p>
              </w:tc>
              <w:tc>
                <w:tcPr>
                  <w:tcW w:w="21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34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宋体" w:hAnsi="宋体"/>
                      <w:spacing w:val="1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按操作规程操作、</w:t>
                  </w:r>
                  <w:bookmarkStart w:id="0" w:name="OLE_LINK3"/>
                  <w:bookmarkStart w:id="1" w:name="OLE_LINK4"/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管理方案、管理制度、</w:t>
                  </w:r>
                </w:p>
                <w:p>
                  <w:pPr>
                    <w:rPr>
                      <w:rFonts w:ascii="宋体" w:hAnsi="宋体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应急预案</w:t>
                  </w:r>
                  <w:bookmarkEnd w:id="0"/>
                  <w:bookmarkEnd w:id="1"/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行政管理部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39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火灾事故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事故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val="en-US" w:eastAsia="zh-CN"/>
                    </w:rPr>
                    <w:t>爆炸</w:t>
                  </w:r>
                </w:p>
              </w:tc>
              <w:tc>
                <w:tcPr>
                  <w:tcW w:w="21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34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应急预案、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管理方案</w:t>
                  </w:r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39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??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??"/>
                      <w:szCs w:val="21"/>
                      <w:highlight w:val="none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21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34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管理方案、应急预案</w:t>
                  </w:r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生产部（中心厨房）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</w:trPr>
              <w:tc>
                <w:tcPr>
                  <w:tcW w:w="139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cs="??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??"/>
                      <w:szCs w:val="21"/>
                      <w:highlight w:val="none"/>
                      <w:lang w:val="en-US" w:eastAsia="zh-CN"/>
                    </w:rPr>
                    <w:t>机械伤害</w:t>
                  </w:r>
                </w:p>
              </w:tc>
              <w:tc>
                <w:tcPr>
                  <w:tcW w:w="21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34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管理方案、应急预案</w:t>
                  </w:r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生产部（中心厨房）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4" w:hRule="atLeast"/>
              </w:trPr>
              <w:tc>
                <w:tcPr>
                  <w:tcW w:w="139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??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>冻伤</w:t>
                  </w:r>
                </w:p>
              </w:tc>
              <w:tc>
                <w:tcPr>
                  <w:tcW w:w="21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34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管理方案、应急预案</w:t>
                  </w:r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采购管理部</w:t>
                  </w:r>
                </w:p>
              </w:tc>
            </w:tr>
          </w:tbl>
          <w:p/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EO6.1.4</w:t>
            </w: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8922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手册第6.1.4条款、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目标、指标</w:t>
            </w:r>
            <w:r>
              <w:rPr>
                <w:rFonts w:hint="eastAsia"/>
                <w:highlight w:val="none"/>
              </w:rPr>
              <w:t>管理方案》</w:t>
            </w:r>
          </w:p>
        </w:tc>
        <w:tc>
          <w:tcPr>
            <w:tcW w:w="1922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vMerge w:val="continue"/>
          </w:tcPr>
          <w:p>
            <w:pPr>
              <w:rPr>
                <w:highlight w:val="cya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cyan"/>
              </w:rPr>
            </w:pPr>
          </w:p>
        </w:tc>
        <w:tc>
          <w:tcPr>
            <w:tcW w:w="745" w:type="dxa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运行证据</w:t>
            </w:r>
          </w:p>
        </w:tc>
        <w:tc>
          <w:tcPr>
            <w:tcW w:w="8922" w:type="dxa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组织针对重要环境因素、合规义务、风险和机遇制订了控制措施（管理方案）</w:t>
            </w:r>
          </w:p>
          <w:tbl>
            <w:tblPr>
              <w:tblStyle w:val="8"/>
              <w:tblW w:w="8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9"/>
              <w:gridCol w:w="1217"/>
              <w:gridCol w:w="405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控制内容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类别</w:t>
                  </w:r>
                </w:p>
              </w:tc>
              <w:tc>
                <w:tcPr>
                  <w:tcW w:w="40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9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杜绝火灾发生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《应急预案》，《环境和职业健康安全运行控制程序》、《应急准备与响应控制程序》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9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固体废弃物分类处理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《环境和职业健康安全运行控制程序》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9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杜绝重大安全事故和伤亡事件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重大风险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《应急准备与响应控制程序》、《应急预案》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控制各类轻伤事故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重大风险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《应急预案》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??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污染物排放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《环境和职业健康安全运行控制程序》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</w:tbl>
          <w:p>
            <w:pPr>
              <w:rPr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eastAsia"/>
              </w:rPr>
              <w:t>7.4</w:t>
            </w:r>
          </w:p>
          <w:p>
            <w:r>
              <w:rPr>
                <w:rFonts w:hint="eastAsia"/>
                <w:lang w:val="en-US" w:eastAsia="zh-CN"/>
              </w:rPr>
              <w:t>H:5.3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《内外部沟通控制程序》</w:t>
            </w:r>
          </w:p>
        </w:tc>
        <w:tc>
          <w:tcPr>
            <w:tcW w:w="192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9"/>
              <w:tblW w:w="85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7"/>
              <w:gridCol w:w="1797"/>
              <w:gridCol w:w="1435"/>
              <w:gridCol w:w="1762"/>
              <w:gridCol w:w="1011"/>
              <w:gridCol w:w="13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17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的内容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沟通对象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沟通方法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责任部门</w:t>
                  </w:r>
                </w:p>
              </w:tc>
              <w:tc>
                <w:tcPr>
                  <w:tcW w:w="135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42" w:hRule="atLeast"/>
              </w:trPr>
              <w:tc>
                <w:tcPr>
                  <w:tcW w:w="117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2020-09.22-12.21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现场抽样（大白菜、结球甘蓝、番茄、豇豆等原辅料食材）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杭州市滨江区市场监督管理局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来厂监督抽检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135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豇豆水胺硫磷超标，已复测回复，问题已解决。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17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9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  <w:highlight w:val="none"/>
              </w:rPr>
              <w:t>部沟通的控制：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1-05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质量和食品安全相关问题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行政人事部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Q8.2.1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F7.4  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F8.2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H6.3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与顾客有关的过程的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9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9"/>
              <w:tblW w:w="139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455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微信 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访问</w:t>
                  </w:r>
                </w:p>
                <w:p/>
              </w:tc>
              <w:tc>
                <w:tcPr>
                  <w:tcW w:w="2455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招投标书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公司网站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t>签订合同或订单</w:t>
                  </w:r>
                </w:p>
                <w:p>
                  <w:r>
                    <w:rPr>
                      <w:rFonts w:hint="eastAsia"/>
                    </w:rPr>
                    <w:t>处理变更</w:t>
                  </w:r>
                </w:p>
                <w:p>
                  <w:r>
                    <w:rPr>
                      <w:rFonts w:hint="eastAsia"/>
                    </w:rPr>
                    <w:t>（适用时）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pPr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微信 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面对面服务</w:t>
                  </w:r>
                </w:p>
                <w:p/>
              </w:tc>
              <w:tc>
                <w:tcPr>
                  <w:tcW w:w="2455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合同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4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客诉电话</w:t>
                  </w:r>
                  <w:r>
                    <w:rPr>
                      <w:rFonts w:ascii="宋体" w:hAnsi="宋体"/>
                    </w:rPr>
                    <w:t xml:space="preserve"> 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满意度调查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投诉处理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t>处置或控制顾客财产</w:t>
                  </w:r>
                </w:p>
                <w:p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/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  <w:vAlign w:val="top"/>
          </w:tcPr>
          <w:p>
            <w:r>
              <w:rPr>
                <w:rFonts w:hint="eastAsia"/>
                <w:lang w:val="en-US" w:eastAsia="zh-CN"/>
              </w:rPr>
              <w:t>如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手册8.1条款、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《服务过程控制程序》</w:t>
            </w:r>
          </w:p>
        </w:tc>
        <w:tc>
          <w:tcPr>
            <w:tcW w:w="192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试验废弃物（废液、固废等）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厨余垃圾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厨余垃圾的处置：交由有资质的第三方进行处理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生活垃圾——《垃圾清运合同》——杭州滨江环卫清洁有限公司——（合同有效期至：2021-12-31）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废弃油脂——《废弃油脂回收协议》——浙江卓尚环保能源有限公司——（合同有效期至：2021-12-31）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提供有《废弃油回收处理台账》，抽查2021-05-06，废弃油数量：48kg去向：生物柴油、油漆等原料，交接人：谭志刚，回收人：杨飞。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pStyle w:val="2"/>
            </w:pPr>
          </w:p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8922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《环境因素和危险源辨识、评价和控制程序》</w:t>
            </w:r>
          </w:p>
        </w:tc>
        <w:tc>
          <w:tcPr>
            <w:tcW w:w="192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8922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  <w:highlight w:val="cyan"/>
              </w:rPr>
            </w:pPr>
            <w:r>
              <w:rPr>
                <w:rFonts w:hint="eastAsia" w:ascii="宋体" w:hAnsi="宋体"/>
                <w:szCs w:val="21"/>
              </w:rPr>
              <w:t>■劳保用品发放：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rFonts w:hint="eastAsia" w:ascii="宋体" w:hAnsi="宋体"/>
                <w:szCs w:val="21"/>
              </w:rPr>
              <w:t>劳保用品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提供劳保用品发放记录（手套、口罩、面具等）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冻伤、机械伤害</w:t>
            </w:r>
            <w:r>
              <w:rPr>
                <w:rFonts w:hint="eastAsia"/>
                <w:szCs w:val="21"/>
              </w:rPr>
              <w:t>——有医药箱（创可贴、医用酒精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eastAsia="zh-CN"/>
              </w:rPr>
              <w:t>；应急救援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  <w:r>
              <w:rPr>
                <w:rFonts w:hint="eastAsia"/>
                <w:szCs w:val="21"/>
                <w:lang w:eastAsia="zh-CN"/>
              </w:rPr>
              <w:t>悬挂警示标志；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■消防：消防栓、灭火器（干粉）；</w:t>
            </w:r>
            <w:r>
              <w:rPr>
                <w:rFonts w:hint="eastAsia" w:ascii="宋体" w:hAnsi="宋体"/>
                <w:szCs w:val="21"/>
                <w:lang w:eastAsia="zh-CN"/>
              </w:rPr>
              <w:t>定期检查；及时更换；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化学伤害：有进行员工安全教育培训，操作规程培训，定期进行巡检</w:t>
            </w:r>
          </w:p>
          <w:p>
            <w:pPr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查看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《灭火器点检卡》、和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《化学品领用记录》，均合格。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近一年无工伤发生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无       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2" w:name="_GoBack"/>
            <w:bookmarkEnd w:id="2"/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不适用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不适用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不适用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不适用       </w:t>
            </w:r>
          </w:p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Q8.2.2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F7.4  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F8.2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H6.3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</w:tcPr>
          <w:p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.2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与顾客有关的过程控制程序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9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中华人民共和国食品安全法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餐饮服务食品安全操作规范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        </w:t>
            </w:r>
          </w:p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Q8.2.3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F7.4  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F8.2</w:t>
            </w:r>
          </w:p>
          <w:p>
            <w:r>
              <w:rPr>
                <w:rFonts w:hint="eastAsia"/>
                <w:highlight w:val="none"/>
                <w:lang w:val="en-US" w:eastAsia="zh-CN"/>
              </w:rPr>
              <w:t>H6.3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条款、《产品和服务要求控制程序》</w:t>
            </w:r>
          </w:p>
        </w:tc>
        <w:tc>
          <w:tcPr>
            <w:tcW w:w="19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电子合同（e-mail）</w:t>
            </w:r>
          </w:p>
          <w:p/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</w:rPr>
              <w:t>评审的方式：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填写表格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钉钉群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饭菜熟制、卫生</w:t>
                  </w:r>
                  <w:r>
                    <w:rPr>
                      <w:rFonts w:hint="eastAsia"/>
                      <w:lang w:val="en-US" w:eastAsia="zh-CN"/>
                    </w:rPr>
                    <w:t>安全</w:t>
                  </w:r>
                  <w:r>
                    <w:rPr>
                      <w:rFonts w:hint="eastAsia"/>
                    </w:rPr>
                    <w:t>、食材新鲜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服务、菜品质量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无异物污染、无变质发霉、及时</w:t>
                  </w:r>
                  <w:r>
                    <w:rPr>
                      <w:rFonts w:hint="eastAsia"/>
                      <w:lang w:val="en-US" w:eastAsia="zh-CN"/>
                    </w:rPr>
                    <w:t>供应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符合食品安全法、顾客的要求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食品安全法、初级农产品质量法、GB 14934-2016 、GB</w:t>
                  </w:r>
                  <w:r>
                    <w:t>/</w:t>
                  </w:r>
                  <w:r>
                    <w:rPr>
                      <w:rFonts w:hint="eastAsia"/>
                    </w:rPr>
                    <w:t xml:space="preserve">T 33497-2017 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餐饮服务食品安全操作规范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钉钉系统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/合同</w:t>
            </w:r>
            <w:r>
              <w:rPr>
                <w:rFonts w:hint="eastAsia"/>
                <w:highlight w:val="none"/>
                <w:u w:val="single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520"/>
              <w:gridCol w:w="1246"/>
              <w:gridCol w:w="1738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规格型号</w:t>
                  </w:r>
                </w:p>
              </w:tc>
              <w:tc>
                <w:tcPr>
                  <w:tcW w:w="12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数量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交货预期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2021-03-01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杭州金超文化传播有限公司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中餐</w:t>
                  </w:r>
                </w:p>
              </w:tc>
              <w:tc>
                <w:tcPr>
                  <w:tcW w:w="12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2021-01-05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杭州青少年活动中心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快餐盒饭</w:t>
                  </w:r>
                </w:p>
              </w:tc>
              <w:tc>
                <w:tcPr>
                  <w:tcW w:w="124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73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2020-10-13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杭州市饮马井巷小学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学生营养午餐</w:t>
                  </w:r>
                </w:p>
              </w:tc>
              <w:tc>
                <w:tcPr>
                  <w:tcW w:w="124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每天上午11点前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可以满足要求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不存在</w:t>
            </w:r>
          </w:p>
          <w:p>
            <w:r>
              <w:rPr>
                <w:rFonts w:hint="eastAsia"/>
              </w:rPr>
              <w:t>查看公司网站的产品信息，如产品目录：（不涉及）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Q8.2.4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F7.4  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F8.2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H6.3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9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体系建立以来，未发生变更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应急准备和响应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EO8.2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8922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《应急准备和响应控制程序》、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《应急预案》</w:t>
            </w:r>
          </w:p>
        </w:tc>
        <w:tc>
          <w:tcPr>
            <w:tcW w:w="192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8922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应急准备和响应的情况：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应急预案演练</w:t>
                  </w:r>
                  <w:r>
                    <w:rPr>
                      <w:szCs w:val="22"/>
                      <w:highlight w:val="none"/>
                    </w:rPr>
                    <w:t>202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1-04-20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火灾应急演练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应急预案可行、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对预案定期评审的日期：</w:t>
            </w:r>
            <w:r>
              <w:rPr>
                <w:rFonts w:hint="eastAsia"/>
                <w:highlight w:val="none"/>
                <w:u w:val="single"/>
              </w:rPr>
              <w:t xml:space="preserve">     每次演练后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修订响应措施的内容：</w:t>
            </w:r>
            <w:r>
              <w:rPr>
                <w:rFonts w:hint="eastAsia"/>
                <w:highlight w:val="none"/>
                <w:u w:val="single"/>
              </w:rPr>
              <w:t xml:space="preserve">       无    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《应急预案》在当地环保部门的备案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已实施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未实施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适当时，向有关的相关方，包括组织控制下工作的人员提供相关的培训。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未实施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顾客财产控制程序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922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顾客或外部供方的财产种类：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材料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零部件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工具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设备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顾客的场所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知识产权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个人信息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外部供方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外部供方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外部供方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外部供方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异常情况处理：（体系建立以来，未发生）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丢失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损坏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丢失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损坏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丢失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损坏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丢失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损坏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8922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条款、《产品/服务提供控制程序》或《售后服务控制程序》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顾客投诉处理控制程序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922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抽查客户订单:</w:t>
            </w:r>
          </w:p>
          <w:tbl>
            <w:tblPr>
              <w:tblStyle w:val="9"/>
              <w:tblW w:w="91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2163"/>
              <w:gridCol w:w="1480"/>
              <w:gridCol w:w="970"/>
              <w:gridCol w:w="1110"/>
              <w:gridCol w:w="18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216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48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97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产品生产日期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2021-05-06</w:t>
                  </w:r>
                </w:p>
              </w:tc>
              <w:tc>
                <w:tcPr>
                  <w:tcW w:w="216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杭州青少年发展中心</w:t>
                  </w:r>
                </w:p>
              </w:tc>
              <w:tc>
                <w:tcPr>
                  <w:tcW w:w="148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盒饭</w:t>
                  </w:r>
                </w:p>
              </w:tc>
              <w:tc>
                <w:tcPr>
                  <w:tcW w:w="97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每份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40盒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2021-05-06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2021-04-30</w:t>
                  </w:r>
                </w:p>
              </w:tc>
              <w:tc>
                <w:tcPr>
                  <w:tcW w:w="216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幼儿园（古墩路园区）</w:t>
                  </w:r>
                </w:p>
              </w:tc>
              <w:tc>
                <w:tcPr>
                  <w:tcW w:w="148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盒饭</w:t>
                  </w:r>
                </w:p>
              </w:tc>
              <w:tc>
                <w:tcPr>
                  <w:tcW w:w="97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每份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53盒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2021-04-30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 w:eastAsia="宋体"/>
                      <w:highlight w:val="cyan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3" w:type="dxa"/>
                </w:tcPr>
                <w:p>
                  <w:pPr>
                    <w:rPr>
                      <w:rFonts w:hint="default" w:eastAsia="宋体"/>
                      <w:highlight w:val="cyan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rFonts w:hint="default" w:eastAsia="宋体"/>
                      <w:highlight w:val="cyan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</w:rPr>
                  </w:pPr>
                </w:p>
              </w:tc>
            </w:tr>
          </w:tbl>
          <w:p>
            <w:pPr>
              <w:pStyle w:val="7"/>
              <w:ind w:left="0" w:leftChars="0" w:firstLine="0" w:firstLineChars="0"/>
              <w:rPr>
                <w:rFonts w:hint="eastAsia"/>
                <w:highlight w:val="cya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eastAsia="宋体"/>
                <w:highlight w:val="cyan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公司的主要顾客是学校师生的团餐、会餐（少量）。有车队负责餐食的配送，配送时间一般控制在1h以内，餐食以一次性餐盒包装为主，外采用塑料袋+保温箱方式，基本符合运输配送要求；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车辆每次在运输前先清洗、84消毒液喷洒消毒（配置浓度：84消毒液：水=1:250ml），提供有《车辆清洗消毒记录表》：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抽查：</w:t>
            </w:r>
            <w:r>
              <w:rPr>
                <w:rFonts w:hint="eastAsia"/>
                <w:u w:val="single"/>
                <w:lang w:val="en-US" w:eastAsia="zh-CN"/>
              </w:rPr>
              <w:t>2021-05-07 车牌号：浙A3H1U1，清洗时间：8:45~9:08，消毒时间：9:11分；记录人：曹建军；2021-05-06 记录同上。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客户投诉记录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2021-01-15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杭州青少年宫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客户接餐处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餐食少配送1份，已补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当餐沟通解决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基本满意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/>
        </w:tc>
        <w:tc>
          <w:tcPr>
            <w:tcW w:w="19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8922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度调查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922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8922" w:type="dxa"/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pStyle w:val="2"/>
              <w:ind w:firstLine="460" w:firstLineChars="200"/>
              <w:rPr>
                <w:rFonts w:hint="default" w:eastAsia="宋体"/>
                <w:color w:val="FF0000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Cs w:val="18"/>
                <w:lang w:val="en-US" w:eastAsia="zh-CN"/>
              </w:rPr>
              <w:t>未按照《顾客满意度调查程序》4.2.2和4.3条款的要求提供“顾客满意度调查表”以及“顾客满意度信息分析评价结果”。</w:t>
            </w:r>
          </w:p>
          <w:p>
            <w:pPr>
              <w:pStyle w:val="2"/>
              <w:rPr>
                <w:color w:val="000000"/>
                <w:szCs w:val="18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每年四次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未提供证据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见Q8.5.5条款审核记录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922" w:type="dxa"/>
            <w:vMerge w:val="continue"/>
            <w:shd w:val="clear" w:color="auto" w:fill="auto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42CA3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8735D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5715AC"/>
    <w:rsid w:val="056577F0"/>
    <w:rsid w:val="05705C5F"/>
    <w:rsid w:val="0571467E"/>
    <w:rsid w:val="057753FF"/>
    <w:rsid w:val="05A05014"/>
    <w:rsid w:val="05C333A2"/>
    <w:rsid w:val="05F6270F"/>
    <w:rsid w:val="0605101B"/>
    <w:rsid w:val="061B4460"/>
    <w:rsid w:val="067B702D"/>
    <w:rsid w:val="06994A8D"/>
    <w:rsid w:val="06AA7E97"/>
    <w:rsid w:val="06C27317"/>
    <w:rsid w:val="06EC4BBF"/>
    <w:rsid w:val="06ED612A"/>
    <w:rsid w:val="077A0611"/>
    <w:rsid w:val="08767210"/>
    <w:rsid w:val="08851DD7"/>
    <w:rsid w:val="089D1CE9"/>
    <w:rsid w:val="08C22483"/>
    <w:rsid w:val="08ED1EE8"/>
    <w:rsid w:val="08F167F0"/>
    <w:rsid w:val="09005957"/>
    <w:rsid w:val="096333C5"/>
    <w:rsid w:val="0973611D"/>
    <w:rsid w:val="09933EF9"/>
    <w:rsid w:val="09AA0CA5"/>
    <w:rsid w:val="09B73CED"/>
    <w:rsid w:val="09FA6045"/>
    <w:rsid w:val="0A0F142E"/>
    <w:rsid w:val="0A1C56C1"/>
    <w:rsid w:val="0A904067"/>
    <w:rsid w:val="0ACA6ED2"/>
    <w:rsid w:val="0AEF4D8D"/>
    <w:rsid w:val="0B515EEB"/>
    <w:rsid w:val="0BBC6DF9"/>
    <w:rsid w:val="0BE64DFF"/>
    <w:rsid w:val="0C4B4D60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A86D9F"/>
    <w:rsid w:val="0FC433E3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1C7253"/>
    <w:rsid w:val="11536201"/>
    <w:rsid w:val="115D3DB9"/>
    <w:rsid w:val="11BD2BE2"/>
    <w:rsid w:val="11BE2038"/>
    <w:rsid w:val="11DC0AC4"/>
    <w:rsid w:val="11E2439D"/>
    <w:rsid w:val="120225CC"/>
    <w:rsid w:val="123868DF"/>
    <w:rsid w:val="12563B2D"/>
    <w:rsid w:val="12A2571D"/>
    <w:rsid w:val="12A42EA7"/>
    <w:rsid w:val="12A506D3"/>
    <w:rsid w:val="12AF5238"/>
    <w:rsid w:val="13296CDD"/>
    <w:rsid w:val="134E7573"/>
    <w:rsid w:val="13890C2B"/>
    <w:rsid w:val="13A420AC"/>
    <w:rsid w:val="13C11723"/>
    <w:rsid w:val="13C13915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6A6524"/>
    <w:rsid w:val="186F767B"/>
    <w:rsid w:val="187F0353"/>
    <w:rsid w:val="188852B3"/>
    <w:rsid w:val="188B6DDD"/>
    <w:rsid w:val="18E725C6"/>
    <w:rsid w:val="18FB3FC3"/>
    <w:rsid w:val="190766A3"/>
    <w:rsid w:val="19360F64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2F538D"/>
    <w:rsid w:val="1A546A4C"/>
    <w:rsid w:val="1A6C3FF9"/>
    <w:rsid w:val="1AAF33A8"/>
    <w:rsid w:val="1AB42370"/>
    <w:rsid w:val="1ACF1254"/>
    <w:rsid w:val="1AED5B63"/>
    <w:rsid w:val="1AF42899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AF4E64"/>
    <w:rsid w:val="1EF77273"/>
    <w:rsid w:val="1F1B65D5"/>
    <w:rsid w:val="1F35289F"/>
    <w:rsid w:val="1F4E73A5"/>
    <w:rsid w:val="1F8E0A45"/>
    <w:rsid w:val="1FAB395F"/>
    <w:rsid w:val="1FB8538A"/>
    <w:rsid w:val="1FD22EF6"/>
    <w:rsid w:val="1FF16224"/>
    <w:rsid w:val="201572E0"/>
    <w:rsid w:val="20272451"/>
    <w:rsid w:val="203255D2"/>
    <w:rsid w:val="20403C64"/>
    <w:rsid w:val="205905F2"/>
    <w:rsid w:val="205B3801"/>
    <w:rsid w:val="207644C2"/>
    <w:rsid w:val="208D0BCB"/>
    <w:rsid w:val="20A856C1"/>
    <w:rsid w:val="21A07B88"/>
    <w:rsid w:val="21D24208"/>
    <w:rsid w:val="226B2F60"/>
    <w:rsid w:val="22813299"/>
    <w:rsid w:val="229D603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BA397F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DA544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64387"/>
    <w:rsid w:val="2BEA3FA7"/>
    <w:rsid w:val="2BFD6446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F07155"/>
    <w:rsid w:val="340C6245"/>
    <w:rsid w:val="343C4522"/>
    <w:rsid w:val="347A0336"/>
    <w:rsid w:val="34AC6049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CD175CA"/>
    <w:rsid w:val="3D0E6267"/>
    <w:rsid w:val="3DAB460B"/>
    <w:rsid w:val="3DDA7DB2"/>
    <w:rsid w:val="3E342793"/>
    <w:rsid w:val="3E3C5235"/>
    <w:rsid w:val="3EA34B57"/>
    <w:rsid w:val="3EEF1E6E"/>
    <w:rsid w:val="3F0269A8"/>
    <w:rsid w:val="3F654598"/>
    <w:rsid w:val="40571F31"/>
    <w:rsid w:val="40760623"/>
    <w:rsid w:val="408B7234"/>
    <w:rsid w:val="40A82F90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9C22A5"/>
    <w:rsid w:val="432A5E11"/>
    <w:rsid w:val="433B1167"/>
    <w:rsid w:val="435F500F"/>
    <w:rsid w:val="43C730CD"/>
    <w:rsid w:val="44043CC6"/>
    <w:rsid w:val="44A567F5"/>
    <w:rsid w:val="45173A63"/>
    <w:rsid w:val="45372E44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E07C2"/>
    <w:rsid w:val="46EA7997"/>
    <w:rsid w:val="470243E7"/>
    <w:rsid w:val="471F1498"/>
    <w:rsid w:val="47271944"/>
    <w:rsid w:val="475C4BFE"/>
    <w:rsid w:val="47BB044C"/>
    <w:rsid w:val="48262DE5"/>
    <w:rsid w:val="48902321"/>
    <w:rsid w:val="48CA74F7"/>
    <w:rsid w:val="49C0281D"/>
    <w:rsid w:val="49E449BF"/>
    <w:rsid w:val="49EC77B8"/>
    <w:rsid w:val="49ED5B1C"/>
    <w:rsid w:val="4AA56755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D4601B"/>
    <w:rsid w:val="4C2C100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795634"/>
    <w:rsid w:val="508C4A05"/>
    <w:rsid w:val="50B91BA6"/>
    <w:rsid w:val="50C41CF1"/>
    <w:rsid w:val="51217DA6"/>
    <w:rsid w:val="51294703"/>
    <w:rsid w:val="51425A27"/>
    <w:rsid w:val="5158757E"/>
    <w:rsid w:val="51795AD5"/>
    <w:rsid w:val="521A5D1E"/>
    <w:rsid w:val="523624DE"/>
    <w:rsid w:val="52A23F56"/>
    <w:rsid w:val="52BA5471"/>
    <w:rsid w:val="52CF56D4"/>
    <w:rsid w:val="52D871F4"/>
    <w:rsid w:val="52F263D6"/>
    <w:rsid w:val="53024EB7"/>
    <w:rsid w:val="53261795"/>
    <w:rsid w:val="53953BE7"/>
    <w:rsid w:val="53F51637"/>
    <w:rsid w:val="54124FEF"/>
    <w:rsid w:val="541C4B67"/>
    <w:rsid w:val="54C53740"/>
    <w:rsid w:val="552A2893"/>
    <w:rsid w:val="556B045B"/>
    <w:rsid w:val="557D4E77"/>
    <w:rsid w:val="558D4F56"/>
    <w:rsid w:val="55C375DD"/>
    <w:rsid w:val="56156439"/>
    <w:rsid w:val="56524F2E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2E1FB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6A68C0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0E2E76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0FC5507"/>
    <w:rsid w:val="61326FB1"/>
    <w:rsid w:val="61384C31"/>
    <w:rsid w:val="613865C3"/>
    <w:rsid w:val="61E77A7E"/>
    <w:rsid w:val="622A4138"/>
    <w:rsid w:val="62385483"/>
    <w:rsid w:val="62385A6C"/>
    <w:rsid w:val="625C0C90"/>
    <w:rsid w:val="62876D77"/>
    <w:rsid w:val="62CA4AF4"/>
    <w:rsid w:val="62E4371E"/>
    <w:rsid w:val="632045D1"/>
    <w:rsid w:val="6342544F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093B9C"/>
    <w:rsid w:val="65662197"/>
    <w:rsid w:val="658C79F9"/>
    <w:rsid w:val="65A33DF6"/>
    <w:rsid w:val="65BE04E1"/>
    <w:rsid w:val="65F429F0"/>
    <w:rsid w:val="66462C24"/>
    <w:rsid w:val="665A6FDB"/>
    <w:rsid w:val="66B368AE"/>
    <w:rsid w:val="66B532F3"/>
    <w:rsid w:val="66C2760F"/>
    <w:rsid w:val="675A3B6C"/>
    <w:rsid w:val="67906832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000D1D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567A"/>
    <w:rsid w:val="70795456"/>
    <w:rsid w:val="709946EC"/>
    <w:rsid w:val="72385532"/>
    <w:rsid w:val="72702455"/>
    <w:rsid w:val="72884C69"/>
    <w:rsid w:val="728F2E47"/>
    <w:rsid w:val="72973011"/>
    <w:rsid w:val="72E42D1B"/>
    <w:rsid w:val="73343015"/>
    <w:rsid w:val="734F0911"/>
    <w:rsid w:val="736054C4"/>
    <w:rsid w:val="736C572D"/>
    <w:rsid w:val="73A422EB"/>
    <w:rsid w:val="74103E55"/>
    <w:rsid w:val="745B622A"/>
    <w:rsid w:val="74AA3A17"/>
    <w:rsid w:val="753E2D2E"/>
    <w:rsid w:val="756A1F87"/>
    <w:rsid w:val="75975CD6"/>
    <w:rsid w:val="75B63EDF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6255B6"/>
    <w:rsid w:val="7C090682"/>
    <w:rsid w:val="7C6A6CA8"/>
    <w:rsid w:val="7CF04E00"/>
    <w:rsid w:val="7D41026F"/>
    <w:rsid w:val="7D59343F"/>
    <w:rsid w:val="7E0A78B3"/>
    <w:rsid w:val="7E2665B9"/>
    <w:rsid w:val="7E2912F3"/>
    <w:rsid w:val="7EAA2710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0</TotalTime>
  <ScaleCrop>false</ScaleCrop>
  <LinksUpToDate>false</LinksUpToDate>
  <CharactersWithSpaces>13540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2021-05-14T12:28:21Z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41810346867947BC84CFBB99690A86AF</vt:lpwstr>
  </property>
</Properties>
</file>