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700"/>
        <w:gridCol w:w="805"/>
        <w:gridCol w:w="320"/>
        <w:gridCol w:w="970"/>
        <w:gridCol w:w="505"/>
        <w:gridCol w:w="1000"/>
        <w:gridCol w:w="988"/>
        <w:gridCol w:w="732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325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玺瑞通达(北京)电子技术有限公司</w:t>
            </w:r>
            <w:bookmarkEnd w:id="4"/>
          </w:p>
        </w:tc>
        <w:tc>
          <w:tcPr>
            <w:tcW w:w="19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Q：29.09.01;29.10.07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E：29.09.01;29.10.07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O：29.09.01;29.10.07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李京田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Q：29.09.01;29.10.07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E：29.09.01;29.10.07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O：29.09.01;29.10.07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夏爱俭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r>
              <w:rPr>
                <w:rFonts w:hint="eastAsia"/>
              </w:rPr>
              <w:t>销售：客户接触----合同评审----签订合同-----客户付款------入帐------采购-----客户提货-----验收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Cs w:val="0"/>
                <w:spacing w:val="0"/>
                <w:sz w:val="24"/>
              </w:rPr>
              <w:t>其中特殊过程为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过程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过程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需要确认过程  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2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需要确认过程：销售过程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确认应具备设备认可、人员资格认可、特定的方法和程序并具备过程有效的记录，并由确认负责人批准。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评价考虑了三种时态现在、过去、将来、三种状态、异常、正常、紧急考虑了法律法规，并进行了评价，用打分法考虑了法规符合性、发生频次、影响范围等, 通过定性判断法，共识别出重大环境因素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项：固废排放、火灾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/>
                <w:sz w:val="21"/>
                <w:szCs w:val="21"/>
              </w:rPr>
              <w:t>，评价符合程序要求及公司的实际情况。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提供的：“危险源识别与风险评价表”“不可接受风险源清单”， 评价考虑了将来、状态、可能导致的事件，并进行了评价，用打分法考虑了法规符合性、发生频次、影响范围等, 通过是非法，共识别出不可接受风险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项，涉及：火灾和触电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、意外伤害。</w:t>
            </w:r>
            <w:r>
              <w:rPr>
                <w:rFonts w:hint="eastAsia"/>
                <w:sz w:val="21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</w:rPr>
              <w:t>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GB/T17544-1998《信息技术 软件包 质量要求和测试》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GB/T11457-2006《信息处理 软件工程术语》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 17859—1999《计算机信息系统安全保护等级划分准则》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 20261-2006《信息技术 系统安全工程 能力成熟度模型》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 20269-2006 《信息安全技术 信息系统安全管理要求》</w:t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 20270-2006《信息安全技术 网络基础安全技术要求》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FZ/T 90054-2009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纺织机械仪器仪表产品包装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13384-2008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机电产品包装通用技术条件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13983-1992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仪器仪表基本术语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25480-2010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仪器仪表运输、贮存基本环境条件及试验方法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28879-2012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电工仪器仪表产品型号编制方法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4960.6-2008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核科学技术术语 核仪器仪表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国家质量监督检验检疫.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GB/T 9238-2010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平衡机及其仪器仪表用图形符号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国家质量监督检验检疫.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JB/T 12583-2015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仪器仪表可靠性评估程序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工业和信息化部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JB/T 12584-2015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仪器仪表现场工作可靠性、可用性数据收集指南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工业和信息化部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JB/T 13112-2017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仪器仪表用钢化玻璃表盖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工业和信息化部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JB/T 50124-1999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仪器仪表规范中可靠性条款编写导则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JB/T 6182-2014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仪器仪表设计评审指南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工业和信息化部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SJ/T 10711-1996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移动通讯设备标准试验条件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电子工业部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SJ 20982-2008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雷达、通讯设备升降杆(塔)通用规范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2021.5.8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>京田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2021.5.8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B8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2021-05-09T03:53:00Z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DD9D2A18542B47A89BB4F241A293EDD4</vt:lpwstr>
  </property>
</Properties>
</file>