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02"/>
        <w:gridCol w:w="1001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过程与活动、</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抽样计划</w:t>
            </w:r>
          </w:p>
        </w:tc>
        <w:tc>
          <w:tcPr>
            <w:tcW w:w="1502"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涉及</w:t>
            </w:r>
          </w:p>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条款</w:t>
            </w:r>
          </w:p>
        </w:tc>
        <w:tc>
          <w:tcPr>
            <w:tcW w:w="1001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受审核部门：</w:t>
            </w:r>
            <w:r>
              <w:rPr>
                <w:rFonts w:hint="default" w:ascii="Times New Roman" w:hAnsi="Times New Roman" w:cs="Times New Roman" w:eastAsiaTheme="minorEastAsia"/>
                <w:sz w:val="21"/>
                <w:szCs w:val="21"/>
                <w:lang w:eastAsia="zh-CN"/>
              </w:rPr>
              <w:t>办公室</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主管领导：</w:t>
            </w:r>
            <w:r>
              <w:rPr>
                <w:rFonts w:hint="default" w:ascii="Times New Roman" w:hAnsi="Times New Roman" w:cs="Times New Roman" w:eastAsiaTheme="minorEastAsia"/>
                <w:sz w:val="21"/>
                <w:szCs w:val="21"/>
                <w:lang w:val="en-US" w:eastAsia="zh-CN"/>
              </w:rPr>
              <w:t xml:space="preserve">刘增锦        </w:t>
            </w:r>
            <w:r>
              <w:rPr>
                <w:rFonts w:hint="default" w:ascii="Times New Roman" w:hAnsi="Times New Roman" w:cs="Times New Roman" w:eastAsiaTheme="minorEastAsia"/>
                <w:sz w:val="21"/>
                <w:szCs w:val="21"/>
              </w:rPr>
              <w:t>陪同人员：</w:t>
            </w:r>
            <w:r>
              <w:rPr>
                <w:rFonts w:hint="default" w:ascii="Times New Roman" w:hAnsi="Times New Roman" w:cs="Times New Roman" w:eastAsiaTheme="minorEastAsia"/>
                <w:sz w:val="21"/>
                <w:szCs w:val="21"/>
                <w:lang w:val="en-US" w:eastAsia="zh-CN"/>
              </w:rPr>
              <w:t>简琴</w:t>
            </w:r>
          </w:p>
        </w:tc>
        <w:tc>
          <w:tcPr>
            <w:tcW w:w="1217"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01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审核员：</w:t>
            </w:r>
            <w:r>
              <w:rPr>
                <w:rFonts w:hint="default" w:ascii="Times New Roman" w:hAnsi="Times New Roman" w:cs="Times New Roman" w:eastAsiaTheme="minorEastAsia"/>
                <w:sz w:val="21"/>
                <w:szCs w:val="21"/>
                <w:lang w:val="en-US" w:eastAsia="zh-CN"/>
              </w:rPr>
              <w:t xml:space="preserve"> </w:t>
            </w:r>
            <w:r>
              <w:rPr>
                <w:rFonts w:hint="eastAsia" w:cs="Times New Roman" w:eastAsiaTheme="minorEastAsia"/>
                <w:sz w:val="21"/>
                <w:szCs w:val="21"/>
                <w:lang w:val="en-US" w:eastAsia="zh-CN"/>
              </w:rPr>
              <w:t xml:space="preserve">褚敏杰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审核时间：</w:t>
            </w:r>
            <w:r>
              <w:rPr>
                <w:rFonts w:hint="default" w:ascii="Times New Roman" w:hAnsi="Times New Roman" w:cs="Times New Roman" w:eastAsiaTheme="minorEastAsia"/>
                <w:sz w:val="21"/>
                <w:szCs w:val="21"/>
                <w:lang w:val="en-US" w:eastAsia="zh-CN"/>
              </w:rPr>
              <w:t>2021.5.3</w:t>
            </w:r>
          </w:p>
        </w:tc>
        <w:tc>
          <w:tcPr>
            <w:tcW w:w="1217"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审核条款：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rPr>
              <w:t>:5.3组织的岗位、职责和权限、6.1.2环境因素/</w:t>
            </w:r>
            <w:r>
              <w:rPr>
                <w:rFonts w:hint="default" w:ascii="Times New Roman" w:hAnsi="Times New Roman" w:cs="Times New Roman" w:eastAsiaTheme="minorEastAsia"/>
                <w:sz w:val="21"/>
                <w:szCs w:val="21"/>
                <w:lang w:val="en-US" w:eastAsia="zh-CN"/>
              </w:rPr>
              <w:t>危险源的识别与评价、</w:t>
            </w:r>
            <w:r>
              <w:rPr>
                <w:rFonts w:hint="default" w:ascii="Times New Roman" w:hAnsi="Times New Roman" w:cs="Times New Roman" w:eastAsiaTheme="minorEastAsia"/>
                <w:sz w:val="21"/>
                <w:szCs w:val="21"/>
              </w:rPr>
              <w:t>6.1.4措施的策划、9.1.2合规性评价、6.2环境/职业健康安全目标</w:t>
            </w:r>
            <w:r>
              <w:rPr>
                <w:rFonts w:hint="default" w:ascii="Times New Roman" w:hAnsi="Times New Roman" w:cs="Times New Roman" w:eastAsiaTheme="minorEastAsia"/>
                <w:sz w:val="21"/>
                <w:szCs w:val="21"/>
                <w:lang w:val="en-US" w:eastAsia="zh-CN"/>
              </w:rPr>
              <w:t>及控制的策划</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7.1资源、</w:t>
            </w:r>
            <w:r>
              <w:rPr>
                <w:rFonts w:hint="default" w:ascii="Times New Roman" w:hAnsi="Times New Roman" w:cs="Times New Roman" w:eastAsiaTheme="minorEastAsia"/>
                <w:sz w:val="21"/>
                <w:szCs w:val="21"/>
              </w:rPr>
              <w:t>7.2能力、</w:t>
            </w:r>
            <w:r>
              <w:rPr>
                <w:rFonts w:hint="default" w:ascii="Times New Roman" w:hAnsi="Times New Roman" w:cs="Times New Roman" w:eastAsiaTheme="minorEastAsia"/>
                <w:sz w:val="21"/>
                <w:szCs w:val="21"/>
                <w:lang w:val="en-US" w:eastAsia="zh-CN"/>
              </w:rPr>
              <w:t>7.3意识、7.5成文信息、</w:t>
            </w:r>
            <w:r>
              <w:rPr>
                <w:rFonts w:hint="default" w:ascii="Times New Roman" w:hAnsi="Times New Roman" w:cs="Times New Roman" w:eastAsiaTheme="minorEastAsia"/>
                <w:sz w:val="21"/>
                <w:szCs w:val="21"/>
              </w:rPr>
              <w:t>8.1运行策划和控制</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8.2应急准备和响应、9.1.1监视、测量、分析和评价、9.2 内部审核</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10.2不符合、事件和纠正措施</w:t>
            </w:r>
          </w:p>
        </w:tc>
        <w:tc>
          <w:tcPr>
            <w:tcW w:w="1217"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岗位、职责和权限</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O:5.3</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rPr>
              <w:t>现场审核了解到</w:t>
            </w:r>
            <w:r>
              <w:rPr>
                <w:rFonts w:hint="default" w:ascii="Times New Roman" w:hAnsi="Times New Roman" w:cs="Times New Roman" w:eastAsiaTheme="minorEastAsia"/>
                <w:sz w:val="21"/>
                <w:szCs w:val="21"/>
                <w:lang w:eastAsia="zh-CN"/>
              </w:rPr>
              <w:t>目前</w:t>
            </w:r>
            <w:r>
              <w:rPr>
                <w:rFonts w:hint="default" w:ascii="Times New Roman" w:hAnsi="Times New Roman" w:cs="Times New Roman" w:eastAsiaTheme="minorEastAsia"/>
                <w:sz w:val="21"/>
                <w:szCs w:val="21"/>
                <w:lang w:val="en-US" w:eastAsia="zh-CN"/>
              </w:rPr>
              <w:t>办公室共计4人，</w:t>
            </w:r>
            <w:r>
              <w:rPr>
                <w:rFonts w:hint="default" w:ascii="Times New Roman" w:hAnsi="Times New Roman" w:cs="Times New Roman" w:eastAsiaTheme="minorEastAsia"/>
                <w:sz w:val="21"/>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负责供方管理、采购、宣传影响主要供应商及外包方等相关方的环境行为等。</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目标</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O:6.2</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以方针为框架，建立了公司管理目标：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环境安全目标：</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噪声\粉尘达标排放；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职业病发生率为0；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rPr>
              <w:t xml:space="preserve"> </w:t>
            </w:r>
            <w:r>
              <w:rPr>
                <w:rFonts w:hint="default" w:ascii="Times New Roman" w:hAnsi="Times New Roman" w:cs="Times New Roman" w:eastAsiaTheme="minorEastAsia"/>
                <w:sz w:val="21"/>
                <w:szCs w:val="21"/>
                <w:lang w:val="en-US" w:eastAsia="zh-CN"/>
              </w:rPr>
              <w:t>触电机械伤害事故为0。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查见目标指标管理方案，见对重要环境因素和不可接受风险建立了管理方案，明确了控制措施、责任部门、责任人；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查见“质量\环境\职业健康安全目标分解考核表”，见办公室的目标：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文件受控率达100%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培训合格率达100%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触电、火灾事故为0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考核情况：经查2021.3.23质量\环境\职业健康安全目标分解考核表，各目标达成要求。基本符合。</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环境因素的识别与评价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措施的策划</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6.1.4</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危害辨识、风险评价、风险控制工作表”，辨识和评价了办公活动和生产的卸料、车辆使用、配电设施、相关方、生产过程、检验过程、设备检修过程、入库作业、叉车使用等活动的危险源，包括车辆伤害、触电、潜在火灾、机械伤害、滑倒伤害、高空坠落、物体打击、吸入粉尘、烫伤、噪音等112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对识别出的危险源采取D=LEC进行评价，查到“不可接受风险清单”，评价出重大危险源包括：火灾触电事故、机械伤害、废气（粉尘）吸入、噪声伤害、起重伤害、高空坠落等。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办公室识别了办公活动过程中的危险源，主要包括火灾、摔伤、高空坠落、交通意外伤害、烫伤等。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经评价办公室的重大危险源有火灾、触电。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策划了控制措施，制订了“环境安全管理方案”，明确了控制措施、时间要求、责任部门、责任和资源计划。</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资源</w:t>
            </w:r>
          </w:p>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能力</w:t>
            </w:r>
          </w:p>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意识</w:t>
            </w:r>
          </w:p>
        </w:tc>
        <w:tc>
          <w:tcPr>
            <w:tcW w:w="1502" w:type="dxa"/>
            <w:vAlign w:val="top"/>
          </w:tcPr>
          <w:p>
            <w:pPr>
              <w:spacing w:line="360" w:lineRule="auto"/>
              <w:jc w:val="center"/>
              <w:rPr>
                <w:rFonts w:hint="default" w:ascii="Times New Roman" w:hAnsi="Times New Roman" w:cs="Times New Roman" w:eastAsiaTheme="minorEastAsia"/>
                <w:color w:val="auto"/>
                <w:spacing w:val="-6"/>
                <w:sz w:val="21"/>
                <w:szCs w:val="21"/>
                <w:lang w:val="en-US" w:eastAsia="zh-CN"/>
              </w:rPr>
            </w:pPr>
            <w:r>
              <w:rPr>
                <w:rFonts w:hint="eastAsia" w:cs="Times New Roman" w:eastAsiaTheme="minorEastAsia"/>
                <w:color w:val="auto"/>
                <w:spacing w:val="-6"/>
                <w:sz w:val="21"/>
                <w:szCs w:val="21"/>
                <w:lang w:val="en-US" w:eastAsia="zh-CN"/>
              </w:rPr>
              <w:t>O</w:t>
            </w:r>
            <w:r>
              <w:rPr>
                <w:rFonts w:hint="default" w:ascii="Times New Roman" w:hAnsi="Times New Roman" w:cs="Times New Roman" w:eastAsiaTheme="minorEastAsia"/>
                <w:color w:val="auto"/>
                <w:spacing w:val="-6"/>
                <w:sz w:val="21"/>
                <w:szCs w:val="21"/>
                <w:lang w:val="en-US" w:eastAsia="zh-CN"/>
              </w:rPr>
              <w:t>:7.1</w:t>
            </w:r>
          </w:p>
          <w:p>
            <w:pPr>
              <w:spacing w:line="360" w:lineRule="auto"/>
              <w:jc w:val="center"/>
              <w:rPr>
                <w:rFonts w:hint="default"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val="en-US" w:eastAsia="zh-CN"/>
              </w:rPr>
              <w:t>7.2</w:t>
            </w:r>
          </w:p>
          <w:p>
            <w:pPr>
              <w:spacing w:line="360" w:lineRule="auto"/>
              <w:jc w:val="center"/>
              <w:rPr>
                <w:rFonts w:hint="default" w:ascii="Times New Roman" w:hAnsi="Times New Roman" w:cs="Times New Roman" w:eastAsiaTheme="minorEastAsia"/>
                <w:color w:val="auto"/>
                <w:spacing w:val="-6"/>
                <w:kern w:val="2"/>
                <w:sz w:val="21"/>
                <w:szCs w:val="21"/>
                <w:lang w:val="en-US" w:eastAsia="zh-CN" w:bidi="ar-SA"/>
              </w:rPr>
            </w:pPr>
            <w:r>
              <w:rPr>
                <w:rFonts w:hint="default" w:ascii="Times New Roman" w:hAnsi="Times New Roman" w:cs="Times New Roman" w:eastAsiaTheme="minorEastAsia"/>
                <w:color w:val="auto"/>
                <w:spacing w:val="-6"/>
                <w:sz w:val="21"/>
                <w:szCs w:val="21"/>
                <w:lang w:val="en-US" w:eastAsia="zh-CN"/>
              </w:rPr>
              <w:t>7.3</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公司现有人员15人，管理人员、技术人员和操作员工等能够有效实施管理体系，并运行和控制其过程。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劳动合同——抽查黄建库、柯文锋的劳动合同，合同中未明确岗位职业健康安全风险，交流；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保留“岗位人员任职要求与评价表”，对各岗位人员能力提出了要求，并进行了评价，结果符合；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查见“2020年-2021年度员工培训计划”，计划开展管理手册、程序文件、管理目标及方案、安全生产知识培训、岗位技能培训等14项次；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查“培训记录及培训效果评价表”，抽见：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2020.12.20——管理手册、程序文件；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2021.1.07——</w:t>
            </w:r>
            <w:r>
              <w:rPr>
                <w:rFonts w:hint="default" w:ascii="Times New Roman" w:hAnsi="Times New Roman" w:cs="Times New Roman" w:eastAsiaTheme="minorEastAsia"/>
                <w:sz w:val="21"/>
                <w:szCs w:val="21"/>
              </w:rPr>
              <w:t>环境、安全管理目标及方案</w:t>
            </w:r>
            <w:r>
              <w:rPr>
                <w:rFonts w:hint="default"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刘建良-负责人，安全资格证书</w:t>
            </w:r>
            <w:r>
              <w:rPr>
                <w:rFonts w:hint="eastAsia" w:cs="Times New Roman" w:eastAsiaTheme="minorEastAsia"/>
                <w:sz w:val="21"/>
                <w:szCs w:val="21"/>
                <w:lang w:val="en-US" w:eastAsia="zh-CN"/>
              </w:rPr>
              <w:t>，有效</w:t>
            </w:r>
            <w:r>
              <w:rPr>
                <w:rFonts w:hint="default"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bookmarkStart w:id="0" w:name="_GoBack"/>
            <w:bookmarkEnd w:id="0"/>
            <w:r>
              <w:rPr>
                <w:rFonts w:hint="default" w:ascii="Times New Roman" w:hAnsi="Times New Roman" w:cs="Times New Roman" w:eastAsiaTheme="minorEastAsia"/>
                <w:sz w:val="21"/>
                <w:szCs w:val="21"/>
                <w:lang w:val="en-US" w:eastAsia="zh-CN"/>
              </w:rPr>
              <w:t>席XX——低压电工作业；2024.11.14-江西省宜春市安监局，有效；</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公司安全环保设施包括有灭火器、风机、收尘室、滤芯、个体防护（劳保）用品、垃圾桶等；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与部门负责人沟通交流，主要通过培训提高岗位作业水平和质量、环保、安全意识，询问部分员工，他们对公司的管理方针、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员工能明确自身职责及岗位要求，自身工作影响，如何提高产品质量、减少环境污染，员工人身安全意识等。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sz w:val="21"/>
                <w:szCs w:val="21"/>
                <w:lang w:val="en-US" w:eastAsia="zh-CN"/>
              </w:rPr>
              <w:t>基本能满足要求。</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运行策划和控制</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:8.1</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公司策划了环境安全管理相关程序文件和管理制度：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运行控制程序、废弃物控制程序、噪声控制程序、消防控制程序、设备控制程序、劳动防护用品控制程序、资源能源控制程序、应急准备和响应控制程序等；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节约用电用水管理制度、固体废弃物管理制度、消防安全管理制度、用电安全管理规定、公司劳动安全管理办法、消防器材管理规定程序、火灾事故应急救援预案、劳动防护用品管理制度等。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查见配置有灭火器、状态良好，保留检查记录；监控摄像头运行正常；应急疏散指示符合要求；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查见“相关方告知书”，有效文件。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查见安全生产责任书，公司与员工签订；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查见《劳动防护用品控制程序》，明确了各岗位配发的防尘面具、手套、耳塞、工服等数量和配发时间；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Cs w:val="22"/>
                <w:lang w:val="en-US" w:eastAsia="zh-CN"/>
              </w:rPr>
            </w:pPr>
            <w:r>
              <w:rPr>
                <w:rFonts w:hint="default"/>
                <w:szCs w:val="22"/>
                <w:lang w:val="en-US" w:eastAsia="zh-CN"/>
              </w:rPr>
              <w:t>抽查见《劳动用品领用登记表》2020.6-2021.4月份发放记录，领用人签字。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szCs w:val="22"/>
                <w:lang w:val="en-US" w:eastAsia="zh-CN"/>
              </w:rPr>
              <w:t>为满足环境和职业健康安全体系的运行，公司投入了环保及安全资金，主要是购买消防设施、环保设施、劳保用品、社保等，运行至今支出约7.56万元。</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成文信息</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:7.5</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《管理手册》A/0版，管理体系于2020年11月10日实施，无变化。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另程序文件25个，A/0版，于2020年11月10日实施，无变化。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生产工艺文件、试验检测管理制度、操作规程、试验标准、实验作业指导书等；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建立有外来文件清单，收集地中华人民共和国产品质量法、中华人民共和国安全生产法、中华人民共和国环境保护法、中华人民共和国消防法、热固性粉末涂料等8个；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经查，基本符合标准要求。</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监视、测量、分析和评价总则</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:9.1.1</w:t>
            </w:r>
          </w:p>
        </w:tc>
        <w:tc>
          <w:tcPr>
            <w:tcW w:w="1001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保持有“监视和测量控制程序”，有效文件；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查“质量\环境\职业健康安全目标分解考核表”，半年一次对目标完成情况进行考核；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4"/>
                <w:szCs w:val="24"/>
              </w:rPr>
            </w:pPr>
            <w:r>
              <w:rPr>
                <w:rFonts w:hint="default" w:ascii="Times New Roman" w:hAnsi="Times New Roman" w:cs="Times New Roman" w:eastAsiaTheme="minorEastAsia"/>
                <w:sz w:val="21"/>
                <w:szCs w:val="21"/>
                <w:lang w:val="en-US" w:eastAsia="zh-CN"/>
              </w:rPr>
              <w:t>抽见《环境、安全检查记录表》2020年11-2021年3月，</w:t>
            </w:r>
            <w:r>
              <w:rPr>
                <w:rFonts w:hint="default" w:ascii="Times New Roman" w:hAnsi="Times New Roman" w:cs="Times New Roman"/>
                <w:szCs w:val="21"/>
              </w:rPr>
              <w:t>未发现异常，检查人</w:t>
            </w:r>
            <w:r>
              <w:rPr>
                <w:rFonts w:hint="default" w:ascii="Times New Roman" w:hAnsi="Times New Roman" w:cs="Times New Roman"/>
                <w:szCs w:val="21"/>
                <w:lang w:eastAsia="zh-CN"/>
              </w:rPr>
              <w:t>邹小敏</w:t>
            </w:r>
            <w:r>
              <w:rPr>
                <w:rFonts w:hint="default" w:ascii="Times New Roman" w:hAnsi="Times New Roman" w:cs="Times New Roman"/>
                <w:szCs w:val="21"/>
              </w:rPr>
              <w:t>。</w:t>
            </w:r>
            <w:r>
              <w:rPr>
                <w:rFonts w:hint="eastAsia" w:asciiTheme="minorEastAsia" w:hAnsiTheme="minorEastAsia" w:eastAsiaTheme="minorEastAsia" w:cstheme="minorEastAsia"/>
                <w:sz w:val="24"/>
                <w:szCs w:val="24"/>
              </w:rPr>
              <w:t>检查项目内容涉及：</w:t>
            </w:r>
          </w:p>
          <w:p>
            <w:pPr>
              <w:pStyle w:val="8"/>
              <w:spacing w:line="360" w:lineRule="auto"/>
              <w:ind w:firstLine="420" w:firstLineChars="200"/>
              <w:rPr>
                <w:rFonts w:hint="default"/>
                <w:lang w:val="en-US" w:eastAsia="zh-CN"/>
              </w:rPr>
            </w:pPr>
            <w:r>
              <w:rPr>
                <w:rFonts w:hint="eastAsia" w:ascii="Times New Roman" w:hAnsi="Times New Roman" w:cs="Times New Roman" w:eastAsiaTheme="minorEastAsia"/>
                <w:bCs w:val="0"/>
                <w:spacing w:val="0"/>
                <w:kern w:val="2"/>
                <w:sz w:val="21"/>
                <w:szCs w:val="21"/>
                <w:lang w:val="en-US" w:eastAsia="zh-CN" w:bidi="ar-SA"/>
              </w:rPr>
              <w:t>加工/办公/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r>
              <w:rPr>
                <w:rFonts w:hint="eastAsia" w:cs="Times New Roman" w:eastAsiaTheme="minorEastAsia"/>
                <w:bCs w:val="0"/>
                <w:spacing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按</w:t>
            </w:r>
            <w:r>
              <w:rPr>
                <w:rFonts w:hint="default" w:ascii="Times New Roman" w:hAnsi="Times New Roman" w:cs="Times New Roman" w:eastAsiaTheme="minorEastAsia"/>
                <w:sz w:val="21"/>
                <w:szCs w:val="21"/>
                <w:lang w:val="en-US" w:eastAsia="zh-CN"/>
              </w:rPr>
              <w:t>每月</w:t>
            </w:r>
            <w:r>
              <w:rPr>
                <w:rFonts w:hint="eastAsia" w:ascii="Times New Roman" w:hAnsi="Times New Roman" w:cs="Times New Roman" w:eastAsiaTheme="minorEastAsia"/>
                <w:sz w:val="21"/>
                <w:szCs w:val="21"/>
                <w:lang w:val="en-US" w:eastAsia="zh-CN"/>
              </w:rPr>
              <w:t>、每周发放</w:t>
            </w:r>
            <w:r>
              <w:rPr>
                <w:rFonts w:hint="default" w:ascii="Times New Roman" w:hAnsi="Times New Roman" w:cs="Times New Roman" w:eastAsiaTheme="minorEastAsia"/>
                <w:sz w:val="21"/>
                <w:szCs w:val="21"/>
                <w:lang w:val="en-US" w:eastAsia="zh-CN"/>
              </w:rPr>
              <w:t>劳保用品</w:t>
            </w:r>
            <w:r>
              <w:rPr>
                <w:rFonts w:hint="eastAsia" w:ascii="Times New Roman" w:hAnsi="Times New Roman" w:cs="Times New Roman" w:eastAsiaTheme="minorEastAsia"/>
                <w:sz w:val="21"/>
                <w:szCs w:val="21"/>
                <w:lang w:val="en-US" w:eastAsia="zh-CN"/>
              </w:rPr>
              <w:t>，如口罩、工作服、肥皂、耳塞、毛巾、手套等。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查见体检报告，2021.4.30，在岗期间，抽见舒政龙-生产技术员，有害因素名称-粉尘。抽见熊刚华-生产部部长，有害因素名称-粉尘。体检结果正常，体检单位樟树市清江医院体检中心。</w:t>
            </w:r>
          </w:p>
          <w:p>
            <w:pPr>
              <w:pStyle w:val="2"/>
              <w:spacing w:line="360" w:lineRule="auto"/>
              <w:jc w:val="both"/>
              <w:rPr>
                <w:rFonts w:hint="eastAsia"/>
                <w:lang w:val="en-US" w:eastAsia="zh-CN"/>
              </w:rPr>
            </w:pPr>
            <w:r>
              <w:rPr>
                <w:rFonts w:hint="eastAsia"/>
                <w:lang w:val="en-US" w:eastAsia="zh-CN"/>
              </w:rPr>
              <w:t>查见“工作场所职业病危害因素检测报告书”，江西赣昌评价检测技术咨询有限公司出具，2019.1.14，在三年有效期内；对投料、挤出、粉碎磨粉、打包等岗位的噪声、粉尘因素进行了检测；</w:t>
            </w:r>
          </w:p>
          <w:p>
            <w:pPr>
              <w:pStyle w:val="2"/>
              <w:spacing w:line="360" w:lineRule="auto"/>
              <w:jc w:val="both"/>
              <w:rPr>
                <w:rFonts w:hint="eastAsia"/>
                <w:lang w:val="en-US" w:eastAsia="zh-CN"/>
              </w:rPr>
            </w:pPr>
            <w:r>
              <w:rPr>
                <w:rFonts w:hint="eastAsia"/>
                <w:lang w:val="en-US" w:eastAsia="zh-CN"/>
              </w:rPr>
              <w:t>检测依据：工作场所有害因素职业接触限值 第1部分：化学有害因素-GB2.1-2019；</w:t>
            </w:r>
          </w:p>
          <w:p>
            <w:pPr>
              <w:pStyle w:val="2"/>
              <w:spacing w:line="360" w:lineRule="auto"/>
              <w:jc w:val="both"/>
              <w:rPr>
                <w:rFonts w:hint="default"/>
                <w:lang w:val="en-US" w:eastAsia="zh-CN"/>
              </w:rPr>
            </w:pPr>
            <w:r>
              <w:rPr>
                <w:rFonts w:hint="eastAsia"/>
                <w:lang w:val="en-US" w:eastAsia="zh-CN"/>
              </w:rPr>
              <w:t xml:space="preserve">          工作场所有害因素职业接触限值 第2部分：物理有害因素-GB2.1-2007；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szCs w:val="22"/>
                <w:lang w:val="en-US" w:eastAsia="zh-CN"/>
              </w:rPr>
              <w:t>检测结论：除3#线和5#线投料位粉尘不符合、3#线和5#线操作工噪声不符合外，其他岗位均符合。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介绍说公司每年会召开会议，对年度工作进行总结，明确公司优势，提出公司发展中存在的问题，并对下年度的工作做出安排。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基本符合。</w:t>
            </w:r>
          </w:p>
        </w:tc>
        <w:tc>
          <w:tcPr>
            <w:tcW w:w="1217" w:type="dxa"/>
            <w:vAlign w:val="top"/>
          </w:tcPr>
          <w:p>
            <w:pPr>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内部审核</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O:9.2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由组长刘建良组织内部审核，查年度审核计划：提供《内部审核计划》，其内容已包括了审核目的、范围、依据。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审核组构成：组长刘建良、组员刘增锦、熊岗华。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 审核时间2021年3月1日-3月2日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2.审核按计划进行，抽查检查表管理层、办公室、供销部、生产部审核记录与计划相一致，内审员经内部培训合格，能力还需加强；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内部审核结论：提供了《内部审核报告》，对现场审核进行了综述，对质量环境安全管理体系进行了符合性的综合评价，最后结论为：公司的质量环境安全管理体系基本符合标准要求，运行有效</w:t>
            </w:r>
            <w:r>
              <w:rPr>
                <w:rFonts w:hint="default" w:ascii="Times New Roman" w:hAnsi="Times New Roman" w:cs="Times New Roman" w:eastAsiaTheme="minorEastAsia"/>
                <w:sz w:val="21"/>
                <w:szCs w:val="21"/>
                <w:lang w:val="en-US" w:eastAsia="zh-CN"/>
              </w:rPr>
              <w:t>本次内审开具一份不符合项报告，进行了不合格原因分析，制定并实施了纠正措施，进行了效果验证。</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应急管理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val="en-US" w:eastAsia="zh-CN"/>
              </w:rPr>
              <w:t>:8.2</w:t>
            </w:r>
          </w:p>
        </w:tc>
        <w:tc>
          <w:tcPr>
            <w:tcW w:w="10010" w:type="dxa"/>
            <w:vAlign w:val="top"/>
          </w:tcPr>
          <w:p>
            <w:pPr>
              <w:tabs>
                <w:tab w:val="left" w:pos="6597"/>
              </w:tabs>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编制了《应急准备和响应控制程序》，确定的紧急情况有：火灾、触电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机械伤害等。提供了火灾应急预案、触电事故</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机械伤害</w:t>
            </w:r>
            <w:r>
              <w:rPr>
                <w:rFonts w:hint="default" w:ascii="Times New Roman" w:hAnsi="Times New Roman" w:cs="Times New Roman" w:eastAsiaTheme="minorEastAsia"/>
                <w:sz w:val="21"/>
                <w:szCs w:val="21"/>
                <w:lang w:eastAsia="zh-CN"/>
              </w:rPr>
              <w:t>等</w:t>
            </w:r>
            <w:r>
              <w:rPr>
                <w:rFonts w:hint="default" w:ascii="Times New Roman" w:hAnsi="Times New Roman" w:cs="Times New Roman" w:eastAsiaTheme="minorEastAsia"/>
                <w:sz w:val="21"/>
                <w:szCs w:val="21"/>
              </w:rPr>
              <w:t>应急预案、企业疫情防控应急预案，其中包括目的、适用范围、职责、应急处理细则、演习、必备资料等，相关内容基本充分。</w:t>
            </w:r>
          </w:p>
          <w:p>
            <w:pPr>
              <w:tabs>
                <w:tab w:val="left" w:pos="6597"/>
              </w:tabs>
              <w:spacing w:line="360" w:lineRule="auto"/>
              <w:ind w:firstLine="420" w:firstLineChars="200"/>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应急设施配置：在办公场所内、生产区域内均配备了灭火器等消防设施</w:t>
            </w:r>
            <w:r>
              <w:rPr>
                <w:rFonts w:hint="eastAsia" w:cs="Times New Roman" w:eastAsiaTheme="minorEastAsia"/>
                <w:sz w:val="21"/>
                <w:szCs w:val="21"/>
                <w:lang w:val="en-US" w:eastAsia="zh-CN"/>
              </w:rPr>
              <w:t>;</w:t>
            </w:r>
          </w:p>
          <w:p>
            <w:pPr>
              <w:tabs>
                <w:tab w:val="left" w:pos="6597"/>
              </w:tabs>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查20</w:t>
            </w:r>
            <w:r>
              <w:rPr>
                <w:rFonts w:hint="default" w:ascii="Times New Roman" w:hAnsi="Times New Roman" w:cs="Times New Roman" w:eastAsiaTheme="minorEastAsia"/>
                <w:sz w:val="21"/>
                <w:szCs w:val="21"/>
                <w:lang w:val="en-US" w:eastAsia="zh-CN"/>
              </w:rPr>
              <w:t>20</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15</w:t>
            </w:r>
            <w:r>
              <w:rPr>
                <w:rFonts w:hint="default" w:ascii="Times New Roman" w:hAnsi="Times New Roman" w:cs="Times New Roman" w:eastAsiaTheme="minorEastAsia"/>
                <w:sz w:val="21"/>
                <w:szCs w:val="21"/>
              </w:rPr>
              <w:t>日的《火灾应急救援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再查20</w:t>
            </w:r>
            <w:r>
              <w:rPr>
                <w:rFonts w:hint="default" w:ascii="Times New Roman" w:hAnsi="Times New Roman" w:cs="Times New Roman" w:eastAsiaTheme="minorEastAsia"/>
                <w:sz w:val="21"/>
                <w:szCs w:val="21"/>
                <w:lang w:val="en-US" w:eastAsia="zh-CN"/>
              </w:rPr>
              <w:t>20</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17</w:t>
            </w:r>
            <w:r>
              <w:rPr>
                <w:rFonts w:hint="default" w:ascii="Times New Roman" w:hAnsi="Times New Roman" w:cs="Times New Roman" w:eastAsiaTheme="minorEastAsia"/>
                <w:sz w:val="21"/>
                <w:szCs w:val="21"/>
              </w:rPr>
              <w:t>日的《触电应急救援预案演练记录》，情况基本同上。</w:t>
            </w:r>
          </w:p>
          <w:p>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现场巡视办公区有灭火器，均有效。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rPr>
              <w:t>自体系运行以来尚未发生紧急情况。</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980" w:type="dxa"/>
            <w:vAlign w:val="center"/>
          </w:tcPr>
          <w:p>
            <w:pPr>
              <w:spacing w:line="360" w:lineRule="auto"/>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lang w:val="en-US" w:eastAsia="zh-CN"/>
              </w:rPr>
              <w:t>不合格和纠正措施</w:t>
            </w:r>
          </w:p>
        </w:tc>
        <w:tc>
          <w:tcPr>
            <w:tcW w:w="1502" w:type="dxa"/>
            <w:vAlign w:val="top"/>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O:</w:t>
            </w:r>
            <w:r>
              <w:rPr>
                <w:rFonts w:hint="eastAsia" w:asciiTheme="minorEastAsia" w:hAnsiTheme="minorEastAsia" w:eastAsiaTheme="minorEastAsia" w:cstheme="minorEastAsia"/>
                <w:sz w:val="24"/>
                <w:szCs w:val="24"/>
              </w:rPr>
              <w:t>10.2</w:t>
            </w:r>
          </w:p>
          <w:p>
            <w:pPr>
              <w:spacing w:line="360" w:lineRule="auto"/>
              <w:rPr>
                <w:rFonts w:hint="default" w:asciiTheme="minorEastAsia" w:hAnsiTheme="minorEastAsia" w:eastAsiaTheme="minorEastAsia" w:cstheme="minorEastAsia"/>
                <w:kern w:val="2"/>
                <w:sz w:val="24"/>
                <w:szCs w:val="24"/>
                <w:lang w:val="en-US" w:eastAsia="zh-CN" w:bidi="ar-SA"/>
              </w:rPr>
            </w:pPr>
          </w:p>
        </w:tc>
        <w:tc>
          <w:tcPr>
            <w:tcW w:w="10010" w:type="dxa"/>
            <w:vAlign w:val="top"/>
          </w:tcPr>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保持实施《纠正措施和预防措施控制程序》、《事故调查处置控制程序》，对纠正预防措施识别、评审、验证，事故事件报告、调查、处理等作了规定，其内容符合组织实际及标准要求。 </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rPr>
              <w:t>企业纠正和预防措施的管理符合标准规定要求。</w:t>
            </w:r>
          </w:p>
        </w:tc>
        <w:tc>
          <w:tcPr>
            <w:tcW w:w="1217"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Y</w:t>
            </w:r>
          </w:p>
        </w:tc>
      </w:tr>
    </w:tbl>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6862"/>
    <w:rsid w:val="01B56308"/>
    <w:rsid w:val="022D6234"/>
    <w:rsid w:val="02785CBA"/>
    <w:rsid w:val="031C350F"/>
    <w:rsid w:val="055C38CE"/>
    <w:rsid w:val="05A960B5"/>
    <w:rsid w:val="06DB31F8"/>
    <w:rsid w:val="0A5B4572"/>
    <w:rsid w:val="0EA74667"/>
    <w:rsid w:val="143F781D"/>
    <w:rsid w:val="15E97629"/>
    <w:rsid w:val="162932EB"/>
    <w:rsid w:val="16803A30"/>
    <w:rsid w:val="184B4002"/>
    <w:rsid w:val="19EF495D"/>
    <w:rsid w:val="1B391C33"/>
    <w:rsid w:val="1F6A0090"/>
    <w:rsid w:val="207239D2"/>
    <w:rsid w:val="248323A7"/>
    <w:rsid w:val="29C93C98"/>
    <w:rsid w:val="2A067AA2"/>
    <w:rsid w:val="2B4661A6"/>
    <w:rsid w:val="2B491769"/>
    <w:rsid w:val="2C1F4934"/>
    <w:rsid w:val="2F467E42"/>
    <w:rsid w:val="303C3778"/>
    <w:rsid w:val="30C07204"/>
    <w:rsid w:val="30D639C8"/>
    <w:rsid w:val="31266CC8"/>
    <w:rsid w:val="31D171CA"/>
    <w:rsid w:val="33C71C01"/>
    <w:rsid w:val="34897235"/>
    <w:rsid w:val="34F94043"/>
    <w:rsid w:val="35254298"/>
    <w:rsid w:val="387F2F1B"/>
    <w:rsid w:val="3990429C"/>
    <w:rsid w:val="3B99201B"/>
    <w:rsid w:val="3CB0314E"/>
    <w:rsid w:val="3F007B54"/>
    <w:rsid w:val="41495ED3"/>
    <w:rsid w:val="41A71B3C"/>
    <w:rsid w:val="463F438F"/>
    <w:rsid w:val="47D439B6"/>
    <w:rsid w:val="4ACF0E85"/>
    <w:rsid w:val="4CB23ED6"/>
    <w:rsid w:val="4CC44516"/>
    <w:rsid w:val="4D2B138A"/>
    <w:rsid w:val="4D34385C"/>
    <w:rsid w:val="4D8879F4"/>
    <w:rsid w:val="501B19BB"/>
    <w:rsid w:val="55E32BEC"/>
    <w:rsid w:val="569E7B3C"/>
    <w:rsid w:val="575810A7"/>
    <w:rsid w:val="57A12D14"/>
    <w:rsid w:val="58F349F6"/>
    <w:rsid w:val="592806C5"/>
    <w:rsid w:val="5F1C0AAA"/>
    <w:rsid w:val="61652A89"/>
    <w:rsid w:val="62996F30"/>
    <w:rsid w:val="66137403"/>
    <w:rsid w:val="66DC3135"/>
    <w:rsid w:val="68892CC5"/>
    <w:rsid w:val="68DA78C4"/>
    <w:rsid w:val="6952544E"/>
    <w:rsid w:val="6A6F56A9"/>
    <w:rsid w:val="6B9B5E77"/>
    <w:rsid w:val="6CDE2DC7"/>
    <w:rsid w:val="6CE34AB0"/>
    <w:rsid w:val="6DF446CE"/>
    <w:rsid w:val="6E0E4508"/>
    <w:rsid w:val="6FF26A1A"/>
    <w:rsid w:val="724913CE"/>
    <w:rsid w:val="728F3F70"/>
    <w:rsid w:val="73B34B02"/>
    <w:rsid w:val="775D263F"/>
    <w:rsid w:val="79F57C8C"/>
    <w:rsid w:val="7A7E6F3E"/>
    <w:rsid w:val="7BAB2316"/>
    <w:rsid w:val="7BFB58B8"/>
    <w:rsid w:val="7D681AB8"/>
    <w:rsid w:val="7DBB13BA"/>
    <w:rsid w:val="7F5E49D1"/>
    <w:rsid w:val="7FD63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15</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2021-05-05T01:36:22Z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