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6"/>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1209"/>
        <w:gridCol w:w="1039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过程与活动、</w:t>
            </w:r>
          </w:p>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抽样计划</w:t>
            </w:r>
          </w:p>
        </w:tc>
        <w:tc>
          <w:tcPr>
            <w:tcW w:w="1209" w:type="dxa"/>
            <w:vMerge w:val="restart"/>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涉及条款</w:t>
            </w:r>
          </w:p>
        </w:tc>
        <w:tc>
          <w:tcPr>
            <w:tcW w:w="10395" w:type="dxa"/>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受审核部门：供销部      主管领导：</w:t>
            </w:r>
            <w:r>
              <w:rPr>
                <w:rFonts w:hint="default" w:ascii="Times New Roman" w:hAnsi="Times New Roman" w:eastAsia="宋体" w:cs="Times New Roman"/>
                <w:szCs w:val="24"/>
                <w:lang w:eastAsia="zh-CN"/>
              </w:rPr>
              <w:t>邹小敏</w:t>
            </w:r>
            <w:r>
              <w:rPr>
                <w:rFonts w:hint="default" w:ascii="Times New Roman" w:hAnsi="Times New Roman" w:cs="Times New Roman" w:eastAsiaTheme="minorEastAsia"/>
                <w:sz w:val="21"/>
                <w:szCs w:val="21"/>
              </w:rPr>
              <w:t xml:space="preserve">     陪同人员：</w:t>
            </w:r>
            <w:r>
              <w:rPr>
                <w:rFonts w:hint="default" w:ascii="Times New Roman" w:hAnsi="Times New Roman" w:eastAsia="宋体" w:cs="Times New Roman"/>
                <w:szCs w:val="24"/>
                <w:lang w:val="en-US" w:eastAsia="zh-CN"/>
              </w:rPr>
              <w:t>简琴</w:t>
            </w:r>
          </w:p>
        </w:tc>
        <w:tc>
          <w:tcPr>
            <w:tcW w:w="945" w:type="dxa"/>
            <w:vMerge w:val="restart"/>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default" w:ascii="Times New Roman" w:hAnsi="Times New Roman" w:cs="Times New Roman" w:eastAsiaTheme="minorEastAsia"/>
                <w:sz w:val="21"/>
                <w:szCs w:val="21"/>
              </w:rPr>
            </w:pPr>
          </w:p>
        </w:tc>
        <w:tc>
          <w:tcPr>
            <w:tcW w:w="1209" w:type="dxa"/>
            <w:vMerge w:val="continue"/>
            <w:vAlign w:val="center"/>
          </w:tcPr>
          <w:p>
            <w:pPr>
              <w:rPr>
                <w:rFonts w:hint="default" w:ascii="Times New Roman" w:hAnsi="Times New Roman" w:cs="Times New Roman" w:eastAsiaTheme="minorEastAsia"/>
                <w:sz w:val="21"/>
                <w:szCs w:val="21"/>
              </w:rPr>
            </w:pPr>
          </w:p>
        </w:tc>
        <w:tc>
          <w:tcPr>
            <w:tcW w:w="10395" w:type="dxa"/>
            <w:vAlign w:val="center"/>
          </w:tcPr>
          <w:p>
            <w:pPr>
              <w:spacing w:before="120"/>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rPr>
              <w:t>审核员：</w:t>
            </w:r>
            <w:r>
              <w:rPr>
                <w:rFonts w:hint="eastAsia" w:cs="Times New Roman" w:eastAsiaTheme="minorEastAsia"/>
                <w:sz w:val="21"/>
                <w:szCs w:val="21"/>
                <w:lang w:val="en-US" w:eastAsia="zh-CN"/>
              </w:rPr>
              <w:t xml:space="preserve">褚敏杰   </w:t>
            </w:r>
            <w:r>
              <w:rPr>
                <w:rFonts w:hint="default" w:ascii="Times New Roman" w:hAnsi="Times New Roman" w:cs="Times New Roman" w:eastAsiaTheme="minorEastAsia"/>
                <w:sz w:val="21"/>
                <w:szCs w:val="21"/>
              </w:rPr>
              <w:t xml:space="preserve">   </w:t>
            </w: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审核时间</w:t>
            </w:r>
            <w:r>
              <w:rPr>
                <w:rFonts w:hint="default" w:ascii="Times New Roman" w:hAnsi="Times New Roman" w:eastAsia="宋体" w:cs="Times New Roman"/>
                <w:szCs w:val="22"/>
              </w:rPr>
              <w:t>：202</w:t>
            </w:r>
            <w:r>
              <w:rPr>
                <w:rFonts w:hint="default" w:ascii="Times New Roman" w:hAnsi="Times New Roman" w:eastAsia="宋体" w:cs="Times New Roman"/>
                <w:szCs w:val="22"/>
                <w:lang w:val="en-US" w:eastAsia="zh-CN"/>
              </w:rPr>
              <w:t>1</w:t>
            </w:r>
            <w:r>
              <w:rPr>
                <w:rFonts w:hint="default" w:ascii="Times New Roman" w:hAnsi="Times New Roman" w:eastAsia="宋体" w:cs="Times New Roman"/>
                <w:szCs w:val="22"/>
              </w:rPr>
              <w:t>.</w:t>
            </w:r>
            <w:r>
              <w:rPr>
                <w:rFonts w:hint="default" w:ascii="Times New Roman" w:hAnsi="Times New Roman" w:eastAsia="宋体" w:cs="Times New Roman"/>
                <w:szCs w:val="22"/>
                <w:lang w:val="en-US" w:eastAsia="zh-CN"/>
              </w:rPr>
              <w:t>5.5</w:t>
            </w:r>
          </w:p>
        </w:tc>
        <w:tc>
          <w:tcPr>
            <w:tcW w:w="945" w:type="dxa"/>
            <w:vMerge w:val="continue"/>
          </w:tcPr>
          <w:p>
            <w:pP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default" w:ascii="Times New Roman" w:hAnsi="Times New Roman" w:cs="Times New Roman" w:eastAsiaTheme="minorEastAsia"/>
                <w:sz w:val="21"/>
                <w:szCs w:val="21"/>
              </w:rPr>
            </w:pPr>
          </w:p>
        </w:tc>
        <w:tc>
          <w:tcPr>
            <w:tcW w:w="1209" w:type="dxa"/>
            <w:vMerge w:val="continue"/>
            <w:vAlign w:val="center"/>
          </w:tcPr>
          <w:p>
            <w:pPr>
              <w:rPr>
                <w:rFonts w:hint="default" w:ascii="Times New Roman" w:hAnsi="Times New Roman" w:cs="Times New Roman" w:eastAsiaTheme="minorEastAsia"/>
                <w:sz w:val="21"/>
                <w:szCs w:val="21"/>
              </w:rPr>
            </w:pPr>
          </w:p>
        </w:tc>
        <w:tc>
          <w:tcPr>
            <w:tcW w:w="10395" w:type="dxa"/>
            <w:vAlign w:val="center"/>
          </w:tcPr>
          <w:p>
            <w:pPr>
              <w:keepNext w:val="0"/>
              <w:keepLines w:val="0"/>
              <w:pageBreakBefore w:val="0"/>
              <w:widowControl w:val="0"/>
              <w:kinsoku/>
              <w:wordWrap/>
              <w:overflowPunct/>
              <w:topLinePunct w:val="0"/>
              <w:autoSpaceDE/>
              <w:autoSpaceDN/>
              <w:bidi w:val="0"/>
              <w:adjustRightInd/>
              <w:spacing w:line="336" w:lineRule="auto"/>
              <w:jc w:val="left"/>
              <w:textAlignment w:val="auto"/>
              <w:rPr>
                <w:rFonts w:hint="default" w:ascii="Times New Roman" w:hAnsi="Times New Roman" w:eastAsia="宋体" w:cs="Times New Roman"/>
                <w:szCs w:val="22"/>
              </w:rPr>
            </w:pPr>
            <w:r>
              <w:rPr>
                <w:rFonts w:hint="default" w:ascii="Times New Roman" w:hAnsi="Times New Roman" w:cs="Times New Roman"/>
              </w:rPr>
              <w:t>审核条</w:t>
            </w:r>
            <w:r>
              <w:rPr>
                <w:rFonts w:hint="default" w:ascii="Times New Roman" w:hAnsi="Times New Roman" w:eastAsia="宋体" w:cs="Times New Roman"/>
                <w:szCs w:val="22"/>
              </w:rPr>
              <w:t>款：</w:t>
            </w:r>
          </w:p>
          <w:p>
            <w:pPr>
              <w:keepNext w:val="0"/>
              <w:keepLines w:val="0"/>
              <w:pageBreakBefore w:val="0"/>
              <w:widowControl w:val="0"/>
              <w:kinsoku/>
              <w:wordWrap/>
              <w:overflowPunct/>
              <w:topLinePunct w:val="0"/>
              <w:autoSpaceDE/>
              <w:autoSpaceDN/>
              <w:bidi w:val="0"/>
              <w:adjustRightInd/>
              <w:spacing w:line="336" w:lineRule="auto"/>
              <w:jc w:val="left"/>
              <w:textAlignment w:val="auto"/>
              <w:rPr>
                <w:rFonts w:hint="default" w:ascii="Times New Roman" w:hAnsi="Times New Roman" w:eastAsia="宋体" w:cs="Times New Roman"/>
                <w:lang w:eastAsia="zh-CN"/>
              </w:rPr>
            </w:pPr>
            <w:r>
              <w:rPr>
                <w:rFonts w:hint="default" w:ascii="Times New Roman" w:hAnsi="Times New Roman" w:eastAsia="宋体" w:cs="Times New Roman"/>
                <w:szCs w:val="22"/>
                <w:lang w:val="en-US" w:eastAsia="zh-CN"/>
              </w:rPr>
              <w:t>O</w:t>
            </w:r>
            <w:r>
              <w:rPr>
                <w:rFonts w:hint="default" w:ascii="Times New Roman" w:hAnsi="Times New Roman" w:eastAsia="宋体" w:cs="Times New Roman"/>
                <w:szCs w:val="22"/>
              </w:rPr>
              <w:t>MS:5.3组织的岗位、职责和权限、6.2职业健康安全目标、6.1.2危险源的识别与评价、6.1.4措施的策划、8.1运行策划和控制、8.2应急准备和响应</w:t>
            </w:r>
            <w:r>
              <w:rPr>
                <w:rFonts w:hint="default" w:ascii="Times New Roman" w:hAnsi="Times New Roman" w:eastAsia="宋体" w:cs="Times New Roman"/>
                <w:szCs w:val="22"/>
                <w:lang w:eastAsia="zh-CN"/>
              </w:rPr>
              <w:t>；</w:t>
            </w:r>
          </w:p>
        </w:tc>
        <w:tc>
          <w:tcPr>
            <w:tcW w:w="945" w:type="dxa"/>
            <w:vMerge w:val="continue"/>
          </w:tcPr>
          <w:p>
            <w:pP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组织的岗位、职责权限</w:t>
            </w:r>
          </w:p>
        </w:tc>
        <w:tc>
          <w:tcPr>
            <w:tcW w:w="1209" w:type="dxa"/>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O</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5.3</w:t>
            </w:r>
          </w:p>
          <w:p>
            <w:pPr>
              <w:rPr>
                <w:rFonts w:hint="default" w:ascii="Times New Roman" w:hAnsi="Times New Roman" w:cs="Times New Roman" w:eastAsiaTheme="minorEastAsia"/>
                <w:sz w:val="21"/>
                <w:szCs w:val="21"/>
              </w:rPr>
            </w:pPr>
          </w:p>
          <w:p>
            <w:pPr>
              <w:rPr>
                <w:rFonts w:hint="default" w:ascii="Times New Roman" w:hAnsi="Times New Roman" w:cs="Times New Roman" w:eastAsiaTheme="minorEastAsia"/>
                <w:sz w:val="21"/>
                <w:szCs w:val="21"/>
              </w:rPr>
            </w:pPr>
          </w:p>
        </w:tc>
        <w:tc>
          <w:tcPr>
            <w:tcW w:w="10395" w:type="dxa"/>
            <w:vAlign w:val="center"/>
          </w:tcPr>
          <w:p>
            <w:pPr>
              <w:spacing w:line="360"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审核过程中了解到部门主要负责：采购控制、供应商管控、市场调研与开发，招投标、商务谈判及合同评审，顾客档案建立，售后服务及顾客满意度评价与分析，本部门环境因素和危险源识别和控制，本部门目标制定与实施，与相关方做好沟通等。</w:t>
            </w:r>
            <w:bookmarkStart w:id="0" w:name="_GoBack"/>
            <w:bookmarkEnd w:id="0"/>
          </w:p>
          <w:p>
            <w:pPr>
              <w:spacing w:line="360"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经与部门负责人交流发现其对部门职责权限基本掌握，部门职责得到合理分配，未发现因职责不清责任不明而造成体系运行失效的情况。</w:t>
            </w:r>
          </w:p>
        </w:tc>
        <w:tc>
          <w:tcPr>
            <w:tcW w:w="945" w:type="dxa"/>
          </w:tcPr>
          <w:p>
            <w:pPr>
              <w:rPr>
                <w:rFonts w:hint="eastAsia" w:ascii="Times New Roman" w:hAnsi="Times New Roman" w:cs="Times New Roman" w:eastAsiaTheme="minorEastAsia"/>
                <w:sz w:val="21"/>
                <w:szCs w:val="21"/>
                <w:lang w:eastAsia="zh-CN"/>
              </w:rPr>
            </w:pPr>
            <w:r>
              <w:rPr>
                <w:rFonts w:hint="eastAsia" w:cs="Times New Roman" w:eastAsia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160" w:type="dxa"/>
            <w:vAlign w:val="center"/>
          </w:tcPr>
          <w:p>
            <w:pP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职业健康安全目标</w:t>
            </w:r>
          </w:p>
        </w:tc>
        <w:tc>
          <w:tcPr>
            <w:tcW w:w="1209" w:type="dxa"/>
            <w:vAlign w:val="center"/>
          </w:tcPr>
          <w:p>
            <w:pPr>
              <w:rPr>
                <w:rFonts w:hint="default" w:ascii="Times New Roman" w:hAnsi="Times New Roman" w:cs="Times New Roman" w:eastAsiaTheme="minorEastAsia"/>
                <w:sz w:val="21"/>
                <w:szCs w:val="21"/>
                <w:lang w:eastAsia="zh-CN"/>
              </w:rPr>
            </w:pPr>
            <w:r>
              <w:rPr>
                <w:rFonts w:hint="eastAsia" w:cs="Times New Roman" w:eastAsiaTheme="minorEastAsia"/>
                <w:sz w:val="21"/>
                <w:szCs w:val="21"/>
                <w:lang w:val="en-US" w:eastAsia="zh-CN"/>
              </w:rPr>
              <w:t>O</w:t>
            </w:r>
            <w:r>
              <w:rPr>
                <w:rFonts w:hint="default" w:ascii="Times New Roman" w:hAnsi="Times New Roman" w:cs="Times New Roman" w:eastAsiaTheme="minorEastAsia"/>
                <w:sz w:val="21"/>
                <w:szCs w:val="21"/>
                <w:lang w:eastAsia="zh-CN"/>
              </w:rPr>
              <w:t>：6.2</w:t>
            </w:r>
          </w:p>
          <w:p>
            <w:pPr>
              <w:rPr>
                <w:rFonts w:hint="default" w:ascii="Times New Roman" w:hAnsi="Times New Roman" w:cs="Times New Roman" w:eastAsiaTheme="minorEastAsia"/>
                <w:sz w:val="21"/>
                <w:szCs w:val="21"/>
                <w:lang w:eastAsia="zh-CN"/>
              </w:rPr>
            </w:pPr>
          </w:p>
          <w:p>
            <w:pPr>
              <w:rPr>
                <w:rFonts w:hint="default" w:ascii="Times New Roman" w:hAnsi="Times New Roman" w:cs="Times New Roman" w:eastAsiaTheme="minorEastAsia"/>
                <w:sz w:val="21"/>
                <w:szCs w:val="21"/>
                <w:lang w:eastAsia="zh-CN"/>
              </w:rPr>
            </w:pPr>
          </w:p>
        </w:tc>
        <w:tc>
          <w:tcPr>
            <w:tcW w:w="10395" w:type="dxa"/>
            <w:vAlign w:val="center"/>
          </w:tcPr>
          <w:p>
            <w:pP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 xml:space="preserve">部门目标：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 xml:space="preserve">  202</w:t>
            </w:r>
            <w:r>
              <w:rPr>
                <w:rFonts w:hint="default" w:ascii="Times New Roman" w:hAnsi="Times New Roman" w:cs="Times New Roman" w:eastAsiaTheme="minorEastAsia"/>
                <w:sz w:val="21"/>
                <w:szCs w:val="21"/>
                <w:lang w:val="en-US" w:eastAsia="zh-CN"/>
              </w:rPr>
              <w:t>1.3.23</w:t>
            </w:r>
            <w:r>
              <w:rPr>
                <w:rFonts w:hint="default" w:ascii="Times New Roman" w:hAnsi="Times New Roman" w:cs="Times New Roman" w:eastAsiaTheme="minorEastAsia"/>
                <w:sz w:val="21"/>
                <w:szCs w:val="21"/>
                <w:lang w:eastAsia="zh-CN"/>
              </w:rPr>
              <w:t>考核</w:t>
            </w:r>
          </w:p>
          <w:p>
            <w:pP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1、合同履约率达100%                                         100%</w:t>
            </w:r>
          </w:p>
          <w:p>
            <w:pP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2、顾客满意度达9</w:t>
            </w:r>
            <w:r>
              <w:rPr>
                <w:rFonts w:hint="default" w:ascii="Times New Roman" w:hAnsi="Times New Roman" w:cs="Times New Roman" w:eastAsiaTheme="minorEastAsia"/>
                <w:sz w:val="21"/>
                <w:szCs w:val="21"/>
                <w:lang w:val="en-US" w:eastAsia="zh-CN"/>
              </w:rPr>
              <w:t>5</w:t>
            </w:r>
            <w:r>
              <w:rPr>
                <w:rFonts w:hint="default" w:ascii="Times New Roman" w:hAnsi="Times New Roman" w:cs="Times New Roman" w:eastAsiaTheme="minorEastAsia"/>
                <w:sz w:val="21"/>
                <w:szCs w:val="21"/>
                <w:lang w:eastAsia="zh-CN"/>
              </w:rPr>
              <w:t xml:space="preserve">分                                         </w:t>
            </w:r>
            <w:r>
              <w:rPr>
                <w:rFonts w:hint="default" w:ascii="Times New Roman" w:hAnsi="Times New Roman" w:cs="Times New Roman" w:eastAsiaTheme="minorEastAsia"/>
                <w:sz w:val="21"/>
                <w:szCs w:val="21"/>
                <w:lang w:val="en-US" w:eastAsia="zh-CN"/>
              </w:rPr>
              <w:t>97</w:t>
            </w:r>
            <w:r>
              <w:rPr>
                <w:rFonts w:hint="default" w:ascii="Times New Roman" w:hAnsi="Times New Roman" w:cs="Times New Roman" w:eastAsiaTheme="minorEastAsia"/>
                <w:sz w:val="21"/>
                <w:szCs w:val="21"/>
                <w:lang w:eastAsia="zh-CN"/>
              </w:rPr>
              <w:t>分</w:t>
            </w:r>
          </w:p>
          <w:p>
            <w:pP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 xml:space="preserve">3、供方评定合格率100%                                  </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 xml:space="preserve"> 100%</w:t>
            </w:r>
          </w:p>
          <w:p>
            <w:pP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4</w:t>
            </w:r>
            <w:r>
              <w:rPr>
                <w:rFonts w:hint="default" w:ascii="Times New Roman" w:hAnsi="Times New Roman" w:cs="Times New Roman" w:eastAsiaTheme="minorEastAsia"/>
                <w:sz w:val="21"/>
                <w:szCs w:val="21"/>
                <w:lang w:eastAsia="zh-CN"/>
              </w:rPr>
              <w:t>、固废分类处置率100%                                       100%</w:t>
            </w:r>
          </w:p>
          <w:p>
            <w:pP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5</w:t>
            </w:r>
            <w:r>
              <w:rPr>
                <w:rFonts w:hint="default" w:ascii="Times New Roman" w:hAnsi="Times New Roman" w:cs="Times New Roman" w:eastAsiaTheme="minorEastAsia"/>
                <w:sz w:val="21"/>
                <w:szCs w:val="21"/>
                <w:lang w:eastAsia="zh-CN"/>
              </w:rPr>
              <w:t>、火灾事故发生次数为0                                       0次</w:t>
            </w:r>
          </w:p>
          <w:p>
            <w:pP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考核情况：经查202</w:t>
            </w:r>
            <w:r>
              <w:rPr>
                <w:rFonts w:hint="default" w:ascii="Times New Roman" w:hAnsi="Times New Roman" w:cs="Times New Roman" w:eastAsiaTheme="minorEastAsia"/>
                <w:sz w:val="21"/>
                <w:szCs w:val="21"/>
                <w:lang w:val="en-US" w:eastAsia="zh-CN"/>
              </w:rPr>
              <w:t>1</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lang w:val="en-US" w:eastAsia="zh-CN"/>
              </w:rPr>
              <w:t>3</w:t>
            </w:r>
            <w:r>
              <w:rPr>
                <w:rFonts w:hint="default" w:ascii="Times New Roman" w:hAnsi="Times New Roman" w:cs="Times New Roman" w:eastAsiaTheme="minorEastAsia"/>
                <w:sz w:val="21"/>
                <w:szCs w:val="21"/>
                <w:lang w:eastAsia="zh-CN"/>
              </w:rPr>
              <w:t>.2</w:t>
            </w:r>
            <w:r>
              <w:rPr>
                <w:rFonts w:hint="default" w:ascii="Times New Roman" w:hAnsi="Times New Roman" w:cs="Times New Roman" w:eastAsiaTheme="minorEastAsia"/>
                <w:sz w:val="21"/>
                <w:szCs w:val="21"/>
                <w:lang w:val="en-US" w:eastAsia="zh-CN"/>
              </w:rPr>
              <w:t>3</w:t>
            </w:r>
            <w:r>
              <w:rPr>
                <w:rFonts w:hint="default" w:ascii="Times New Roman" w:hAnsi="Times New Roman" w:cs="Times New Roman" w:eastAsiaTheme="minorEastAsia"/>
                <w:sz w:val="21"/>
                <w:szCs w:val="21"/>
                <w:lang w:eastAsia="zh-CN"/>
              </w:rPr>
              <w:t>质量\环境\职业健康安全目标分解考核表，各目标达成要求。</w:t>
            </w:r>
          </w:p>
        </w:tc>
        <w:tc>
          <w:tcPr>
            <w:tcW w:w="945" w:type="dxa"/>
          </w:tcPr>
          <w:p>
            <w:pPr>
              <w:rPr>
                <w:rFonts w:hint="eastAsia" w:ascii="Times New Roman" w:hAnsi="Times New Roman" w:cs="Times New Roman" w:eastAsiaTheme="minorEastAsia"/>
                <w:sz w:val="21"/>
                <w:szCs w:val="21"/>
                <w:lang w:eastAsia="zh-CN"/>
              </w:rPr>
            </w:pPr>
            <w:r>
              <w:rPr>
                <w:rFonts w:hint="eastAsia" w:cs="Times New Roman" w:eastAsia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160" w:type="dxa"/>
            <w:vAlign w:val="center"/>
          </w:tcPr>
          <w:p>
            <w:pPr>
              <w:spacing w:line="36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Cs w:val="21"/>
              </w:rPr>
              <w:t>环境因素</w:t>
            </w:r>
            <w:r>
              <w:rPr>
                <w:rFonts w:hint="default" w:ascii="Times New Roman" w:hAnsi="Times New Roman" w:cs="Times New Roman"/>
                <w:szCs w:val="21"/>
                <w:lang w:eastAsia="zh-CN"/>
              </w:rPr>
              <w:t>、危险源</w:t>
            </w:r>
            <w:r>
              <w:rPr>
                <w:rFonts w:hint="default" w:ascii="Times New Roman" w:hAnsi="Times New Roman" w:cs="Times New Roman"/>
                <w:szCs w:val="21"/>
              </w:rPr>
              <w:t>辨识与评价</w:t>
            </w:r>
            <w:r>
              <w:rPr>
                <w:rFonts w:hint="default" w:ascii="Times New Roman" w:hAnsi="Times New Roman" w:cs="Times New Roman"/>
                <w:szCs w:val="21"/>
                <w:lang w:eastAsia="zh-CN"/>
              </w:rPr>
              <w:t>以及</w:t>
            </w:r>
            <w:r>
              <w:rPr>
                <w:rFonts w:hint="default" w:ascii="Times New Roman" w:hAnsi="Times New Roman" w:eastAsia="宋体" w:cs="Times New Roman"/>
                <w:color w:val="auto"/>
                <w:spacing w:val="-6"/>
                <w:sz w:val="21"/>
                <w:szCs w:val="21"/>
              </w:rPr>
              <w:t>措施的策划</w:t>
            </w:r>
          </w:p>
        </w:tc>
        <w:tc>
          <w:tcPr>
            <w:tcW w:w="1209" w:type="dxa"/>
            <w:vAlign w:val="top"/>
          </w:tcPr>
          <w:p>
            <w:pPr>
              <w:spacing w:line="360" w:lineRule="auto"/>
              <w:rPr>
                <w:rFonts w:hint="default" w:ascii="Times New Roman" w:hAnsi="Times New Roman" w:cs="Times New Roman"/>
              </w:rPr>
            </w:pPr>
            <w:r>
              <w:rPr>
                <w:rFonts w:hint="eastAsia" w:cs="Times New Roman"/>
                <w:lang w:val="en-US" w:eastAsia="zh-CN"/>
              </w:rPr>
              <w:t>O</w:t>
            </w:r>
            <w:r>
              <w:rPr>
                <w:rFonts w:hint="default" w:ascii="Times New Roman" w:hAnsi="Times New Roman" w:cs="Times New Roman"/>
                <w:lang w:eastAsia="zh-CN"/>
              </w:rPr>
              <w:t>：</w:t>
            </w:r>
            <w:r>
              <w:rPr>
                <w:rFonts w:hint="default" w:ascii="Times New Roman" w:hAnsi="Times New Roman" w:cs="Times New Roman"/>
              </w:rPr>
              <w:t>6.1.2</w:t>
            </w:r>
          </w:p>
          <w:p>
            <w:pPr>
              <w:pStyle w:val="2"/>
              <w:rPr>
                <w:rFonts w:hint="default" w:ascii="Times New Roman" w:hAnsi="Times New Roman" w:eastAsia="宋体" w:cs="Times New Roman"/>
                <w:lang w:val="en-US" w:eastAsia="zh-CN"/>
              </w:rPr>
            </w:pPr>
            <w:r>
              <w:rPr>
                <w:rFonts w:hint="default" w:ascii="Times New Roman" w:hAnsi="Times New Roman" w:eastAsia="宋体" w:cs="Times New Roman"/>
                <w:kern w:val="2"/>
                <w:sz w:val="21"/>
                <w:szCs w:val="22"/>
                <w:lang w:val="en-US" w:eastAsia="zh-CN" w:bidi="ar-SA"/>
              </w:rPr>
              <w:t>6.1.4</w:t>
            </w:r>
          </w:p>
        </w:tc>
        <w:tc>
          <w:tcPr>
            <w:tcW w:w="10395" w:type="dxa"/>
            <w:vAlign w:val="top"/>
          </w:tcPr>
          <w:p>
            <w:pPr>
              <w:shd w:val="clear"/>
              <w:snapToGrid w:val="0"/>
              <w:spacing w:line="360" w:lineRule="auto"/>
              <w:ind w:firstLine="480"/>
              <w:rPr>
                <w:rFonts w:hint="eastAsia" w:ascii="Times New Roman" w:hAnsi="Times New Roman" w:eastAsia="宋体" w:cs="Times New Roman"/>
                <w:szCs w:val="21"/>
                <w:lang w:val="en-US" w:eastAsia="zh-CN"/>
              </w:rPr>
            </w:pPr>
            <w:r>
              <w:rPr>
                <w:rFonts w:hint="default" w:ascii="Times New Roman" w:hAnsi="Times New Roman" w:cs="Times New Roman"/>
                <w:szCs w:val="21"/>
              </w:rPr>
              <w:t>查有：《环境因素和危险源识别评价与控制程序》</w:t>
            </w:r>
            <w:r>
              <w:rPr>
                <w:rFonts w:hint="eastAsia" w:cs="Times New Roman"/>
                <w:szCs w:val="21"/>
                <w:lang w:val="en-US" w:eastAsia="zh-CN"/>
              </w:rPr>
              <w:t>;</w:t>
            </w:r>
          </w:p>
          <w:p>
            <w:pPr>
              <w:shd w:val="clea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查</w:t>
            </w:r>
            <w:r>
              <w:rPr>
                <w:rFonts w:hint="default" w:ascii="Times New Roman" w:hAnsi="Times New Roman" w:cs="Times New Roman"/>
                <w:szCs w:val="21"/>
                <w:lang w:eastAsia="zh-CN"/>
              </w:rPr>
              <w:t>供销</w:t>
            </w:r>
            <w:r>
              <w:rPr>
                <w:rFonts w:hint="default" w:ascii="Times New Roman" w:hAnsi="Times New Roman" w:cs="Times New Roman"/>
                <w:szCs w:val="21"/>
              </w:rPr>
              <w:t>部的“危害辨识、风险评价、风险控制工作表”，识别了本部门在办公、采购、相关方等各有关过程的</w:t>
            </w:r>
            <w:r>
              <w:rPr>
                <w:rFonts w:hint="default" w:ascii="Times New Roman" w:hAnsi="Times New Roman" w:cs="Times New Roman"/>
                <w:szCs w:val="21"/>
                <w:lang w:eastAsia="zh-CN"/>
              </w:rPr>
              <w:t>危险源共计</w:t>
            </w:r>
            <w:r>
              <w:rPr>
                <w:rFonts w:hint="default" w:ascii="Times New Roman" w:hAnsi="Times New Roman" w:cs="Times New Roman"/>
                <w:szCs w:val="21"/>
                <w:lang w:val="en-US" w:eastAsia="zh-CN"/>
              </w:rPr>
              <w:t>23项</w:t>
            </w:r>
            <w:r>
              <w:rPr>
                <w:rFonts w:hint="default" w:ascii="Times New Roman" w:hAnsi="Times New Roman" w:cs="Times New Roman"/>
                <w:szCs w:val="21"/>
              </w:rPr>
              <w:t>，</w:t>
            </w:r>
            <w:r>
              <w:rPr>
                <w:rFonts w:hint="default" w:ascii="Times New Roman" w:hAnsi="Times New Roman" w:cs="Times New Roman"/>
                <w:szCs w:val="21"/>
                <w:lang w:eastAsia="zh-CN"/>
              </w:rPr>
              <w:t>包括</w:t>
            </w:r>
            <w:r>
              <w:rPr>
                <w:rFonts w:hint="default" w:ascii="Times New Roman" w:hAnsi="Times New Roman" w:cs="Times New Roman"/>
                <w:szCs w:val="21"/>
              </w:rPr>
              <w:t>办公电器漏电触电、违章用电、材料</w:t>
            </w:r>
            <w:r>
              <w:rPr>
                <w:rFonts w:hint="default" w:ascii="Times New Roman" w:hAnsi="Times New Roman" w:cs="Times New Roman"/>
                <w:szCs w:val="21"/>
                <w:lang w:eastAsia="zh-CN"/>
              </w:rPr>
              <w:t>违规</w:t>
            </w:r>
            <w:r>
              <w:rPr>
                <w:rFonts w:hint="default" w:ascii="Times New Roman" w:hAnsi="Times New Roman" w:cs="Times New Roman"/>
                <w:szCs w:val="21"/>
              </w:rPr>
              <w:t>码放</w:t>
            </w:r>
            <w:r>
              <w:rPr>
                <w:rFonts w:hint="default" w:ascii="Times New Roman" w:hAnsi="Times New Roman" w:cs="Times New Roman"/>
                <w:szCs w:val="21"/>
                <w:lang w:eastAsia="zh-CN"/>
              </w:rPr>
              <w:t>、</w:t>
            </w:r>
            <w:r>
              <w:rPr>
                <w:rFonts w:hint="default" w:ascii="Times New Roman" w:hAnsi="Times New Roman" w:cs="Times New Roman"/>
                <w:szCs w:val="21"/>
              </w:rPr>
              <w:t>运输汽车事故等危险源。</w:t>
            </w:r>
          </w:p>
          <w:p>
            <w:pPr>
              <w:shd w:val="clea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查“不可接受危险源清单”，涉及本部门的不可接受风险，包括：潜在火灾、触电等。</w:t>
            </w:r>
          </w:p>
          <w:p>
            <w:pPr>
              <w:shd w:val="clea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控制措施：危险源控制执行管理方案、配备消防器材、个体防护、日常检查、培训教育、应急预案等运行控制措施。</w:t>
            </w:r>
          </w:p>
          <w:p>
            <w:pPr>
              <w:shd w:val="clear"/>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部门识别和评价基本充分，符合规定要求。</w:t>
            </w:r>
          </w:p>
        </w:tc>
        <w:tc>
          <w:tcPr>
            <w:tcW w:w="945" w:type="dxa"/>
          </w:tcPr>
          <w:p>
            <w:pPr>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shd w:val="clear" w:color="auto" w:fill="auto"/>
            <w:vAlign w:val="center"/>
          </w:tcPr>
          <w:p>
            <w:pPr>
              <w:jc w:val="center"/>
              <w:rPr>
                <w:rFonts w:hint="default" w:ascii="Times New Roman" w:hAnsi="Times New Roman" w:cs="Times New Roman" w:eastAsiaTheme="minorEastAsia"/>
                <w:sz w:val="21"/>
                <w:szCs w:val="21"/>
              </w:rPr>
            </w:pPr>
            <w:r>
              <w:rPr>
                <w:rFonts w:hint="default" w:ascii="Times New Roman" w:hAnsi="Times New Roman" w:eastAsia="宋体" w:cs="Times New Roman"/>
                <w:szCs w:val="22"/>
              </w:rPr>
              <w:t>运行策划和控制</w:t>
            </w:r>
          </w:p>
        </w:tc>
        <w:tc>
          <w:tcPr>
            <w:tcW w:w="1209" w:type="dxa"/>
            <w:shd w:val="clear" w:color="auto" w:fill="auto"/>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lang w:val="en-US" w:eastAsia="zh-CN"/>
              </w:rPr>
              <w:t>O</w:t>
            </w:r>
            <w:r>
              <w:rPr>
                <w:rFonts w:hint="default" w:ascii="Times New Roman" w:hAnsi="Times New Roman" w:cs="Times New Roman"/>
                <w:lang w:eastAsia="zh-CN"/>
              </w:rPr>
              <w:t>：</w:t>
            </w:r>
            <w:r>
              <w:rPr>
                <w:rFonts w:hint="default" w:ascii="Times New Roman" w:hAnsi="Times New Roman" w:cs="Times New Roman"/>
                <w:lang w:val="en-US" w:eastAsia="zh-CN"/>
              </w:rPr>
              <w:t>8.1</w:t>
            </w:r>
          </w:p>
        </w:tc>
        <w:tc>
          <w:tcPr>
            <w:tcW w:w="10395" w:type="dxa"/>
            <w:shd w:val="clear" w:color="auto" w:fill="auto"/>
            <w:vAlign w:val="center"/>
          </w:tcPr>
          <w:p>
            <w:pPr>
              <w:shd w:val="clea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lang w:val="en-US" w:eastAsia="zh-CN"/>
              </w:rPr>
              <w:t>1.</w:t>
            </w:r>
            <w:r>
              <w:rPr>
                <w:rFonts w:hint="default" w:ascii="Times New Roman" w:hAnsi="Times New Roman" w:cs="Times New Roman"/>
                <w:szCs w:val="21"/>
              </w:rPr>
              <w:t>编制并实施了运行控制程序</w:t>
            </w:r>
            <w:r>
              <w:rPr>
                <w:rFonts w:hint="default" w:ascii="Times New Roman" w:hAnsi="Times New Roman" w:cs="Times New Roman"/>
                <w:szCs w:val="21"/>
                <w:lang w:eastAsia="zh-CN"/>
              </w:rPr>
              <w:t>RKS</w:t>
            </w:r>
            <w:r>
              <w:rPr>
                <w:rFonts w:hint="default" w:ascii="Times New Roman" w:hAnsi="Times New Roman" w:cs="Times New Roman"/>
                <w:szCs w:val="21"/>
              </w:rPr>
              <w:t>-CX06-</w:t>
            </w:r>
            <w:r>
              <w:rPr>
                <w:rFonts w:hint="default" w:ascii="Times New Roman" w:hAnsi="Times New Roman" w:cs="Times New Roman"/>
                <w:szCs w:val="21"/>
                <w:lang w:eastAsia="zh-CN"/>
              </w:rPr>
              <w:t>2020、</w:t>
            </w:r>
            <w:r>
              <w:rPr>
                <w:rFonts w:hint="default" w:ascii="Times New Roman" w:hAnsi="Times New Roman" w:cs="Times New Roman"/>
                <w:szCs w:val="21"/>
              </w:rPr>
              <w:t>环境因素和危险源识别评价与控制程序</w:t>
            </w:r>
            <w:r>
              <w:rPr>
                <w:rFonts w:hint="default" w:ascii="Times New Roman" w:hAnsi="Times New Roman" w:cs="Times New Roman"/>
                <w:szCs w:val="21"/>
                <w:lang w:eastAsia="zh-CN"/>
              </w:rPr>
              <w:t>、</w:t>
            </w:r>
            <w:r>
              <w:rPr>
                <w:rFonts w:hint="default" w:ascii="Times New Roman" w:hAnsi="Times New Roman" w:cs="Times New Roman"/>
                <w:szCs w:val="21"/>
              </w:rPr>
              <w:t>环境和职业健康安全法律法规控制程序</w:t>
            </w:r>
            <w:r>
              <w:rPr>
                <w:rFonts w:hint="default" w:ascii="Times New Roman" w:hAnsi="Times New Roman" w:cs="Times New Roman"/>
                <w:szCs w:val="21"/>
                <w:lang w:eastAsia="zh-CN"/>
              </w:rPr>
              <w:t>、</w:t>
            </w:r>
            <w:r>
              <w:rPr>
                <w:rFonts w:hint="default" w:ascii="Times New Roman" w:hAnsi="Times New Roman" w:cs="Times New Roman"/>
                <w:szCs w:val="21"/>
              </w:rPr>
              <w:t>资源能源控制程序</w:t>
            </w:r>
            <w:r>
              <w:rPr>
                <w:rFonts w:hint="default" w:ascii="Times New Roman" w:hAnsi="Times New Roman" w:cs="Times New Roman"/>
                <w:szCs w:val="21"/>
                <w:lang w:eastAsia="zh-CN"/>
              </w:rPr>
              <w:t>、</w:t>
            </w:r>
            <w:r>
              <w:rPr>
                <w:rFonts w:hint="default" w:ascii="Times New Roman" w:hAnsi="Times New Roman" w:cs="Times New Roman"/>
                <w:szCs w:val="21"/>
              </w:rPr>
              <w:t>消防控制程序</w:t>
            </w:r>
            <w:r>
              <w:rPr>
                <w:rFonts w:hint="default" w:ascii="Times New Roman" w:hAnsi="Times New Roman" w:cs="Times New Roman"/>
                <w:szCs w:val="21"/>
                <w:lang w:eastAsia="zh-CN"/>
              </w:rPr>
              <w:t>、</w:t>
            </w:r>
            <w:r>
              <w:rPr>
                <w:rFonts w:hint="default" w:ascii="Times New Roman" w:hAnsi="Times New Roman" w:cs="Times New Roman"/>
                <w:szCs w:val="21"/>
              </w:rPr>
              <w:t>废弃物控制程序</w:t>
            </w:r>
            <w:r>
              <w:rPr>
                <w:rFonts w:hint="default" w:ascii="Times New Roman" w:hAnsi="Times New Roman" w:cs="Times New Roman"/>
                <w:szCs w:val="21"/>
                <w:lang w:eastAsia="zh-CN"/>
              </w:rPr>
              <w:t>等程序文件</w:t>
            </w:r>
            <w:r>
              <w:rPr>
                <w:rFonts w:hint="default" w:ascii="Times New Roman" w:hAnsi="Times New Roman" w:cs="Times New Roman"/>
                <w:szCs w:val="21"/>
              </w:rPr>
              <w:t>和</w:t>
            </w:r>
            <w:r>
              <w:rPr>
                <w:rFonts w:hint="default" w:ascii="Times New Roman" w:hAnsi="Times New Roman" w:cs="Times New Roman"/>
                <w:szCs w:val="21"/>
                <w:lang w:eastAsia="zh-CN"/>
              </w:rPr>
              <w:t>管理制度。</w:t>
            </w:r>
          </w:p>
          <w:p>
            <w:pPr>
              <w:shd w:val="clea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2.公司目前销售的产品是</w:t>
            </w:r>
            <w:r>
              <w:rPr>
                <w:rFonts w:hint="default" w:ascii="Times New Roman" w:hAnsi="Times New Roman" w:cs="Times New Roman"/>
                <w:szCs w:val="21"/>
                <w:lang w:eastAsia="zh-CN"/>
              </w:rPr>
              <w:t>静电粉末产品</w:t>
            </w:r>
            <w:r>
              <w:rPr>
                <w:rFonts w:hint="default" w:ascii="Times New Roman" w:hAnsi="Times New Roman" w:cs="Times New Roman"/>
                <w:szCs w:val="21"/>
              </w:rPr>
              <w:t>。</w:t>
            </w:r>
          </w:p>
          <w:p>
            <w:pPr>
              <w:shd w:val="clea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lang w:val="en-US" w:eastAsia="zh-CN"/>
              </w:rPr>
              <w:t>3</w:t>
            </w:r>
            <w:r>
              <w:rPr>
                <w:rFonts w:hint="default" w:ascii="Times New Roman" w:hAnsi="Times New Roman" w:cs="Times New Roman"/>
                <w:szCs w:val="21"/>
              </w:rPr>
              <w:t>.对外采购</w:t>
            </w:r>
            <w:r>
              <w:rPr>
                <w:rFonts w:hint="default" w:ascii="Times New Roman" w:hAnsi="Times New Roman" w:cs="Times New Roman"/>
                <w:szCs w:val="21"/>
                <w:lang w:eastAsia="zh-CN"/>
              </w:rPr>
              <w:t>原材料</w:t>
            </w:r>
            <w:r>
              <w:rPr>
                <w:rFonts w:hint="default" w:ascii="Times New Roman" w:hAnsi="Times New Roman" w:cs="Times New Roman"/>
                <w:szCs w:val="21"/>
              </w:rPr>
              <w:t>的主要有：</w:t>
            </w:r>
            <w:r>
              <w:rPr>
                <w:rFonts w:hint="default" w:ascii="Times New Roman" w:hAnsi="Times New Roman" w:cs="Times New Roman"/>
                <w:szCs w:val="21"/>
                <w:lang w:eastAsia="zh-CN"/>
              </w:rPr>
              <w:t>消光剂、特效增硬剂、砂纹剂、沉淀硫酸钡、消光钡、纯聚酯树脂</w:t>
            </w:r>
            <w:r>
              <w:rPr>
                <w:rFonts w:hint="default" w:ascii="Times New Roman" w:hAnsi="Times New Roman" w:cs="Times New Roman"/>
                <w:szCs w:val="21"/>
              </w:rPr>
              <w:t>等以上产品全部由厂家提供。</w:t>
            </w:r>
            <w:r>
              <w:rPr>
                <w:rFonts w:hint="eastAsia" w:cs="Times New Roman"/>
                <w:szCs w:val="21"/>
                <w:lang w:val="en-US" w:eastAsia="zh-CN"/>
              </w:rPr>
              <w:t>介绍说，</w:t>
            </w:r>
            <w:r>
              <w:rPr>
                <w:rFonts w:hint="default" w:ascii="Times New Roman" w:hAnsi="Times New Roman" w:cs="Times New Roman"/>
                <w:szCs w:val="21"/>
                <w:lang w:eastAsia="zh-CN"/>
              </w:rPr>
              <w:t>要求供应商承诺公司产品环保、节能、无毒无害。</w:t>
            </w:r>
          </w:p>
          <w:p>
            <w:pPr>
              <w:shd w:val="clea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lang w:val="en-US" w:eastAsia="zh-CN"/>
              </w:rPr>
              <w:t>4</w:t>
            </w:r>
            <w:r>
              <w:rPr>
                <w:rFonts w:hint="default" w:ascii="Times New Roman" w:hAnsi="Times New Roman" w:cs="Times New Roman"/>
                <w:szCs w:val="21"/>
              </w:rPr>
              <w:t>.现场查看</w:t>
            </w:r>
            <w:r>
              <w:rPr>
                <w:rFonts w:hint="default" w:ascii="Times New Roman" w:hAnsi="Times New Roman" w:cs="Times New Roman"/>
                <w:szCs w:val="21"/>
                <w:lang w:eastAsia="zh-CN"/>
              </w:rPr>
              <w:t>供销部</w:t>
            </w:r>
            <w:r>
              <w:rPr>
                <w:rFonts w:hint="default" w:ascii="Times New Roman" w:hAnsi="Times New Roman" w:cs="Times New Roman"/>
                <w:szCs w:val="21"/>
              </w:rPr>
              <w:t>办公室有禁止吸烟标识，办公过程产生的垃圾由公司</w:t>
            </w:r>
            <w:r>
              <w:rPr>
                <w:rFonts w:hint="default" w:ascii="Times New Roman" w:hAnsi="Times New Roman" w:cs="Times New Roman"/>
                <w:szCs w:val="21"/>
                <w:lang w:eastAsia="zh-CN"/>
              </w:rPr>
              <w:t>办公室</w:t>
            </w:r>
            <w:r>
              <w:rPr>
                <w:rFonts w:hint="default" w:ascii="Times New Roman" w:hAnsi="Times New Roman" w:cs="Times New Roman"/>
                <w:szCs w:val="21"/>
              </w:rPr>
              <w:t>统一处理，部门不单独处理。</w:t>
            </w:r>
          </w:p>
          <w:p>
            <w:pPr>
              <w:shd w:val="clea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lang w:val="en-US" w:eastAsia="zh-CN"/>
              </w:rPr>
              <w:t>5</w:t>
            </w:r>
            <w:r>
              <w:rPr>
                <w:rFonts w:hint="default" w:ascii="Times New Roman" w:hAnsi="Times New Roman" w:cs="Times New Roman"/>
                <w:szCs w:val="21"/>
              </w:rPr>
              <w:t>.办公室和仓库内主要是电的使用，电器有漏电保护器，经常对电路、电源进行检查，没有露电现象发生，查见有消除安全检查记录，20</w:t>
            </w:r>
            <w:r>
              <w:rPr>
                <w:rFonts w:hint="default" w:ascii="Times New Roman" w:hAnsi="Times New Roman" w:cs="Times New Roman"/>
                <w:szCs w:val="21"/>
                <w:lang w:val="en-US" w:eastAsia="zh-CN"/>
              </w:rPr>
              <w:t>20.11</w:t>
            </w:r>
            <w:r>
              <w:rPr>
                <w:rFonts w:hint="default" w:ascii="Times New Roman" w:hAnsi="Times New Roman" w:cs="Times New Roman"/>
                <w:szCs w:val="21"/>
              </w:rPr>
              <w:t>月</w:t>
            </w:r>
            <w:r>
              <w:rPr>
                <w:rFonts w:hint="eastAsia" w:cs="Times New Roman"/>
                <w:szCs w:val="21"/>
                <w:lang w:val="en-US" w:eastAsia="zh-CN"/>
              </w:rPr>
              <w:t>-</w:t>
            </w:r>
            <w:r>
              <w:rPr>
                <w:rFonts w:hint="default" w:ascii="Times New Roman" w:hAnsi="Times New Roman" w:cs="Times New Roman"/>
                <w:szCs w:val="21"/>
              </w:rPr>
              <w:t>20</w:t>
            </w:r>
            <w:r>
              <w:rPr>
                <w:rFonts w:hint="default" w:ascii="Times New Roman" w:hAnsi="Times New Roman" w:cs="Times New Roman"/>
                <w:szCs w:val="21"/>
                <w:lang w:val="en-US" w:eastAsia="zh-CN"/>
              </w:rPr>
              <w:t>21.3</w:t>
            </w:r>
            <w:r>
              <w:rPr>
                <w:rFonts w:hint="default" w:ascii="Times New Roman" w:hAnsi="Times New Roman" w:cs="Times New Roman"/>
                <w:szCs w:val="21"/>
              </w:rPr>
              <w:t>月份检查结果正常，检查人</w:t>
            </w:r>
            <w:r>
              <w:rPr>
                <w:rFonts w:hint="default" w:ascii="Times New Roman" w:hAnsi="Times New Roman" w:cs="Times New Roman"/>
                <w:szCs w:val="21"/>
                <w:lang w:eastAsia="zh-CN"/>
              </w:rPr>
              <w:t>邹小敏</w:t>
            </w:r>
            <w:r>
              <w:rPr>
                <w:rFonts w:hint="default" w:ascii="Times New Roman" w:hAnsi="Times New Roman" w:cs="Times New Roman"/>
                <w:szCs w:val="21"/>
              </w:rPr>
              <w:t>。</w:t>
            </w:r>
          </w:p>
          <w:p>
            <w:pPr>
              <w:shd w:val="clear"/>
              <w:spacing w:line="360" w:lineRule="auto"/>
              <w:ind w:firstLine="420" w:firstLineChars="200"/>
              <w:rPr>
                <w:rFonts w:hint="default" w:ascii="Times New Roman" w:hAnsi="Times New Roman" w:cs="Times New Roman"/>
                <w:szCs w:val="21"/>
              </w:rPr>
            </w:pPr>
            <w:r>
              <w:rPr>
                <w:rFonts w:hint="eastAsia" w:cs="Times New Roman"/>
                <w:szCs w:val="21"/>
                <w:lang w:val="en-US" w:eastAsia="zh-CN"/>
              </w:rPr>
              <w:t>6</w:t>
            </w:r>
            <w:r>
              <w:rPr>
                <w:rFonts w:hint="default" w:ascii="Times New Roman" w:hAnsi="Times New Roman" w:cs="Times New Roman"/>
                <w:szCs w:val="21"/>
              </w:rPr>
              <w:t>.</w:t>
            </w:r>
            <w:r>
              <w:rPr>
                <w:rFonts w:hint="default" w:ascii="Times New Roman" w:hAnsi="Times New Roman" w:cs="Times New Roman"/>
                <w:szCs w:val="21"/>
                <w:lang w:eastAsia="zh-CN"/>
              </w:rPr>
              <w:t>供销</w:t>
            </w:r>
            <w:r>
              <w:rPr>
                <w:rFonts w:hint="default" w:ascii="Times New Roman" w:hAnsi="Times New Roman" w:cs="Times New Roman"/>
                <w:szCs w:val="21"/>
              </w:rPr>
              <w:t>部向</w:t>
            </w:r>
            <w:r>
              <w:rPr>
                <w:rFonts w:hint="default" w:ascii="Times New Roman" w:hAnsi="Times New Roman" w:cs="Times New Roman"/>
                <w:szCs w:val="21"/>
                <w:lang w:eastAsia="zh-CN"/>
              </w:rPr>
              <w:t>相关方</w:t>
            </w:r>
            <w:r>
              <w:rPr>
                <w:rFonts w:hint="default" w:ascii="Times New Roman" w:hAnsi="Times New Roman" w:cs="Times New Roman"/>
                <w:szCs w:val="21"/>
              </w:rPr>
              <w:t>发放《</w:t>
            </w:r>
            <w:r>
              <w:rPr>
                <w:rFonts w:hint="default" w:ascii="Times New Roman" w:hAnsi="Times New Roman" w:cs="Times New Roman"/>
                <w:szCs w:val="21"/>
                <w:lang w:eastAsia="zh-CN"/>
              </w:rPr>
              <w:t>告相关方</w:t>
            </w:r>
            <w:r>
              <w:rPr>
                <w:rFonts w:hint="default" w:ascii="Times New Roman" w:hAnsi="Times New Roman" w:cs="Times New Roman"/>
                <w:szCs w:val="21"/>
              </w:rPr>
              <w:t>的一封信》，显示的内容中包括本公司采购产品的理化性能造成的环境影响或可能造成的影响，对使用该种物料的员工的要求，各相关方在进入本公司车间前必须有公司相关人员同意或有陪同人员下才能进入，必要时需进行相关的环境、安全培训后才能进入。相关方进入到车间后不允许吸烟和乱动机械设备，需遵守本公司车间现场安全管理的相关规定</w:t>
            </w:r>
            <w:r>
              <w:rPr>
                <w:rFonts w:hint="default" w:ascii="Times New Roman" w:hAnsi="Times New Roman" w:cs="Times New Roman"/>
                <w:szCs w:val="21"/>
                <w:lang w:eastAsia="zh-CN"/>
              </w:rPr>
              <w:t>等</w:t>
            </w:r>
            <w:r>
              <w:rPr>
                <w:rFonts w:hint="default" w:ascii="Times New Roman" w:hAnsi="Times New Roman" w:cs="Times New Roman"/>
                <w:szCs w:val="21"/>
              </w:rPr>
              <w:t>。</w:t>
            </w:r>
          </w:p>
          <w:p>
            <w:pPr>
              <w:shd w:val="clear"/>
              <w:spacing w:line="360" w:lineRule="auto"/>
              <w:ind w:firstLine="420" w:firstLineChars="200"/>
              <w:rPr>
                <w:rFonts w:hint="default" w:ascii="Times New Roman" w:hAnsi="Times New Roman" w:cs="Times New Roman"/>
                <w:szCs w:val="21"/>
              </w:rPr>
            </w:pPr>
            <w:r>
              <w:rPr>
                <w:rFonts w:hint="eastAsia" w:cs="Times New Roman"/>
                <w:szCs w:val="21"/>
                <w:lang w:val="en-US" w:eastAsia="zh-CN"/>
              </w:rPr>
              <w:t>7</w:t>
            </w:r>
            <w:r>
              <w:rPr>
                <w:rFonts w:hint="default" w:ascii="Times New Roman" w:hAnsi="Times New Roman" w:cs="Times New Roman"/>
                <w:szCs w:val="21"/>
              </w:rPr>
              <w:t>.</w:t>
            </w:r>
            <w:r>
              <w:rPr>
                <w:rFonts w:hint="eastAsia" w:ascii="Times New Roman" w:hAnsi="Times New Roman" w:cs="Times New Roman"/>
                <w:szCs w:val="21"/>
              </w:rPr>
              <w:t>仓库现场巡视：分区存放整齐码放，消防通道畅通，现场有禁烟、禁火警示标识，有分类垃圾箱，配备了手提式干粉灭火器，经现场查看均在有效期内。仓库用电线路规范无临时用电，无私拉乱扯，无使用大功率电器等异常现象。</w:t>
            </w:r>
          </w:p>
          <w:p>
            <w:pPr>
              <w:shd w:val="clear"/>
              <w:spacing w:line="360" w:lineRule="auto"/>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szCs w:val="21"/>
              </w:rPr>
              <w:t>部门运行控制基本符合要求。</w:t>
            </w:r>
          </w:p>
        </w:tc>
        <w:tc>
          <w:tcPr>
            <w:tcW w:w="945" w:type="dxa"/>
            <w:vAlign w:val="center"/>
          </w:tcPr>
          <w:p>
            <w:pPr>
              <w:spacing w:beforeLines="50" w:afterLines="50"/>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vAlign w:val="center"/>
          </w:tcPr>
          <w:p>
            <w:pPr>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应急准备和响应</w:t>
            </w:r>
          </w:p>
        </w:tc>
        <w:tc>
          <w:tcPr>
            <w:tcW w:w="1209" w:type="dxa"/>
            <w:shd w:val="clear" w:color="auto" w:fill="auto"/>
            <w:vAlign w:val="top"/>
          </w:tcPr>
          <w:p>
            <w:pPr>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lang w:val="en-US" w:eastAsia="zh-CN"/>
              </w:rPr>
              <w:t>O</w:t>
            </w:r>
            <w:r>
              <w:rPr>
                <w:rFonts w:hint="default" w:ascii="Times New Roman" w:hAnsi="Times New Roman" w:cs="Times New Roman"/>
                <w:lang w:eastAsia="zh-CN"/>
              </w:rPr>
              <w:t>：</w:t>
            </w:r>
            <w:r>
              <w:rPr>
                <w:rFonts w:hint="default" w:ascii="Times New Roman" w:hAnsi="Times New Roman" w:cs="Times New Roman"/>
                <w:szCs w:val="21"/>
              </w:rPr>
              <w:t>8.2</w:t>
            </w:r>
          </w:p>
        </w:tc>
        <w:tc>
          <w:tcPr>
            <w:tcW w:w="10395" w:type="dxa"/>
            <w:shd w:val="clear" w:color="auto" w:fill="auto"/>
            <w:vAlign w:val="top"/>
          </w:tcPr>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制定实施了《应急准备和响应控制程序</w:t>
            </w:r>
            <w:r>
              <w:rPr>
                <w:rFonts w:hint="default" w:ascii="Times New Roman" w:hAnsi="Times New Roman" w:cs="Times New Roman"/>
                <w:szCs w:val="21"/>
                <w:lang w:eastAsia="zh-CN"/>
              </w:rPr>
              <w:t>RKS</w:t>
            </w:r>
            <w:r>
              <w:rPr>
                <w:rFonts w:hint="default" w:ascii="Times New Roman" w:hAnsi="Times New Roman" w:cs="Times New Roman"/>
                <w:szCs w:val="21"/>
              </w:rPr>
              <w:t>-CX14-</w:t>
            </w:r>
            <w:r>
              <w:rPr>
                <w:rFonts w:hint="default" w:ascii="Times New Roman" w:hAnsi="Times New Roman" w:cs="Times New Roman"/>
                <w:szCs w:val="21"/>
                <w:lang w:eastAsia="zh-CN"/>
              </w:rPr>
              <w:t>2020</w:t>
            </w:r>
            <w:r>
              <w:rPr>
                <w:rFonts w:hint="default" w:ascii="Times New Roman" w:hAnsi="Times New Roman" w:cs="Times New Roman"/>
                <w:szCs w:val="21"/>
              </w:rPr>
              <w:t>》，制定了火灾应急预案。内容包括：目的、适用范围、职责、</w:t>
            </w:r>
            <w:r>
              <w:rPr>
                <w:rFonts w:hint="default" w:ascii="Times New Roman" w:hAnsi="Times New Roman" w:cs="Times New Roman"/>
                <w:szCs w:val="21"/>
                <w:lang w:eastAsia="zh-CN"/>
              </w:rPr>
              <w:t>演练准备</w:t>
            </w:r>
            <w:r>
              <w:rPr>
                <w:rFonts w:hint="default" w:ascii="Times New Roman" w:hAnsi="Times New Roman" w:cs="Times New Roman"/>
                <w:szCs w:val="21"/>
              </w:rPr>
              <w:t>、演习、</w:t>
            </w:r>
            <w:r>
              <w:rPr>
                <w:rFonts w:hint="default" w:ascii="Times New Roman" w:hAnsi="Times New Roman" w:cs="Times New Roman"/>
                <w:szCs w:val="21"/>
                <w:lang w:eastAsia="zh-CN"/>
              </w:rPr>
              <w:t>总结</w:t>
            </w:r>
            <w:r>
              <w:rPr>
                <w:rFonts w:hint="default" w:ascii="Times New Roman" w:hAnsi="Times New Roman" w:cs="Times New Roman"/>
                <w:szCs w:val="21"/>
              </w:rPr>
              <w:t>等。</w:t>
            </w:r>
          </w:p>
          <w:p>
            <w:pPr>
              <w:spacing w:line="36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参加了</w:t>
            </w:r>
            <w:r>
              <w:rPr>
                <w:rFonts w:hint="default" w:ascii="Times New Roman" w:hAnsi="Times New Roman" w:cs="Times New Roman"/>
                <w:szCs w:val="21"/>
                <w:lang w:eastAsia="zh-CN"/>
              </w:rPr>
              <w:t>生产部等</w:t>
            </w:r>
            <w:r>
              <w:rPr>
                <w:rFonts w:hint="default" w:ascii="Times New Roman" w:hAnsi="Times New Roman" w:cs="Times New Roman"/>
                <w:szCs w:val="21"/>
              </w:rPr>
              <w:t>组织的应急演练。</w:t>
            </w:r>
          </w:p>
        </w:tc>
        <w:tc>
          <w:tcPr>
            <w:tcW w:w="945" w:type="dxa"/>
            <w:vAlign w:val="center"/>
          </w:tcPr>
          <w:p>
            <w:pPr>
              <w:spacing w:beforeLines="50" w:afterLines="50"/>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Y</w:t>
            </w:r>
          </w:p>
        </w:tc>
      </w:tr>
    </w:tbl>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55</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p/>
                </w:txbxContent>
              </v:textbox>
            </v:shape>
          </w:pict>
        </mc:Fallback>
      </mc:AlternateContent>
    </w:r>
    <w:r>
      <w:rPr>
        <w:rStyle w:val="15"/>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79D"/>
    <w:rsid w:val="0002699D"/>
    <w:rsid w:val="00030671"/>
    <w:rsid w:val="000559A4"/>
    <w:rsid w:val="00077AA7"/>
    <w:rsid w:val="0009579D"/>
    <w:rsid w:val="000A4162"/>
    <w:rsid w:val="000A79B9"/>
    <w:rsid w:val="000B0CDF"/>
    <w:rsid w:val="000B22DD"/>
    <w:rsid w:val="000D2508"/>
    <w:rsid w:val="000F2290"/>
    <w:rsid w:val="00133B1F"/>
    <w:rsid w:val="0013408C"/>
    <w:rsid w:val="001F7683"/>
    <w:rsid w:val="002212EE"/>
    <w:rsid w:val="002439E4"/>
    <w:rsid w:val="002A2A84"/>
    <w:rsid w:val="002B2B89"/>
    <w:rsid w:val="002B42FF"/>
    <w:rsid w:val="003A4A6E"/>
    <w:rsid w:val="00496B5B"/>
    <w:rsid w:val="004B2C62"/>
    <w:rsid w:val="00547DAF"/>
    <w:rsid w:val="00563D1E"/>
    <w:rsid w:val="005733CF"/>
    <w:rsid w:val="006C271F"/>
    <w:rsid w:val="00701533"/>
    <w:rsid w:val="008146C5"/>
    <w:rsid w:val="00817FD6"/>
    <w:rsid w:val="00855272"/>
    <w:rsid w:val="0085645B"/>
    <w:rsid w:val="008B1DEA"/>
    <w:rsid w:val="00B76E45"/>
    <w:rsid w:val="00C04AC0"/>
    <w:rsid w:val="00C33CAC"/>
    <w:rsid w:val="00C414C5"/>
    <w:rsid w:val="00C46748"/>
    <w:rsid w:val="00C673E6"/>
    <w:rsid w:val="00CA608A"/>
    <w:rsid w:val="00D76804"/>
    <w:rsid w:val="00DF1DA7"/>
    <w:rsid w:val="00E47723"/>
    <w:rsid w:val="00E859DE"/>
    <w:rsid w:val="00EC1DC1"/>
    <w:rsid w:val="00F21CD0"/>
    <w:rsid w:val="00FB3892"/>
    <w:rsid w:val="00FE6316"/>
    <w:rsid w:val="036A7C27"/>
    <w:rsid w:val="04107752"/>
    <w:rsid w:val="046239E5"/>
    <w:rsid w:val="04FE5689"/>
    <w:rsid w:val="06AE357A"/>
    <w:rsid w:val="0867790E"/>
    <w:rsid w:val="0A9746FC"/>
    <w:rsid w:val="0AD713C8"/>
    <w:rsid w:val="0B7B2146"/>
    <w:rsid w:val="0BC24423"/>
    <w:rsid w:val="0CBB438C"/>
    <w:rsid w:val="0EA219BA"/>
    <w:rsid w:val="10AD7070"/>
    <w:rsid w:val="12952C53"/>
    <w:rsid w:val="13446264"/>
    <w:rsid w:val="13B72F06"/>
    <w:rsid w:val="13F61BEF"/>
    <w:rsid w:val="153C5261"/>
    <w:rsid w:val="17876C0A"/>
    <w:rsid w:val="179562F7"/>
    <w:rsid w:val="17BB7A8D"/>
    <w:rsid w:val="18045CC5"/>
    <w:rsid w:val="18EB18FF"/>
    <w:rsid w:val="19A50894"/>
    <w:rsid w:val="1A517658"/>
    <w:rsid w:val="1AEA5CE2"/>
    <w:rsid w:val="1C6A2829"/>
    <w:rsid w:val="1C975495"/>
    <w:rsid w:val="1D4E17BC"/>
    <w:rsid w:val="1E26790C"/>
    <w:rsid w:val="1F9B666F"/>
    <w:rsid w:val="204545DD"/>
    <w:rsid w:val="20DF1F50"/>
    <w:rsid w:val="211A77A2"/>
    <w:rsid w:val="22C41E53"/>
    <w:rsid w:val="24EB46DF"/>
    <w:rsid w:val="257B232D"/>
    <w:rsid w:val="25C73C23"/>
    <w:rsid w:val="260857A9"/>
    <w:rsid w:val="260B6214"/>
    <w:rsid w:val="260B7CF7"/>
    <w:rsid w:val="26175025"/>
    <w:rsid w:val="2BC67471"/>
    <w:rsid w:val="2C543EF4"/>
    <w:rsid w:val="2E5F1B67"/>
    <w:rsid w:val="2F580018"/>
    <w:rsid w:val="2F812C46"/>
    <w:rsid w:val="2FD13556"/>
    <w:rsid w:val="303F68CD"/>
    <w:rsid w:val="30852424"/>
    <w:rsid w:val="30DB01ED"/>
    <w:rsid w:val="31537CBD"/>
    <w:rsid w:val="31C71069"/>
    <w:rsid w:val="332C4B6D"/>
    <w:rsid w:val="34E46ECE"/>
    <w:rsid w:val="374B5A6C"/>
    <w:rsid w:val="37E2184A"/>
    <w:rsid w:val="384843E6"/>
    <w:rsid w:val="38D6530D"/>
    <w:rsid w:val="38F3666F"/>
    <w:rsid w:val="396D56E5"/>
    <w:rsid w:val="399454D1"/>
    <w:rsid w:val="39D230CE"/>
    <w:rsid w:val="3C31409B"/>
    <w:rsid w:val="3C44158C"/>
    <w:rsid w:val="3C730BF4"/>
    <w:rsid w:val="3E6B5E5A"/>
    <w:rsid w:val="3F5855ED"/>
    <w:rsid w:val="3FEC002C"/>
    <w:rsid w:val="4159323F"/>
    <w:rsid w:val="41621B3E"/>
    <w:rsid w:val="41B16CBD"/>
    <w:rsid w:val="42072E45"/>
    <w:rsid w:val="420929D1"/>
    <w:rsid w:val="42214DB6"/>
    <w:rsid w:val="423609B8"/>
    <w:rsid w:val="42BA6D87"/>
    <w:rsid w:val="43986911"/>
    <w:rsid w:val="43A26F9E"/>
    <w:rsid w:val="440B5536"/>
    <w:rsid w:val="46591E1A"/>
    <w:rsid w:val="47E56361"/>
    <w:rsid w:val="48C27124"/>
    <w:rsid w:val="49091AF4"/>
    <w:rsid w:val="49CD10CA"/>
    <w:rsid w:val="4AA83D47"/>
    <w:rsid w:val="4B9169E7"/>
    <w:rsid w:val="4CF11AF1"/>
    <w:rsid w:val="4DA96531"/>
    <w:rsid w:val="4E2E3D3D"/>
    <w:rsid w:val="4E7E2E7D"/>
    <w:rsid w:val="50C43941"/>
    <w:rsid w:val="521A1A65"/>
    <w:rsid w:val="52AB45CA"/>
    <w:rsid w:val="53A464FF"/>
    <w:rsid w:val="53B31476"/>
    <w:rsid w:val="53C14F3D"/>
    <w:rsid w:val="5514640E"/>
    <w:rsid w:val="56A21FD2"/>
    <w:rsid w:val="56B27B7D"/>
    <w:rsid w:val="573A5AE9"/>
    <w:rsid w:val="582F698C"/>
    <w:rsid w:val="5A3159AB"/>
    <w:rsid w:val="5A4D1ABD"/>
    <w:rsid w:val="5BB1295D"/>
    <w:rsid w:val="5D51133E"/>
    <w:rsid w:val="5EA01E07"/>
    <w:rsid w:val="5EF4791D"/>
    <w:rsid w:val="5FD25142"/>
    <w:rsid w:val="60070CDE"/>
    <w:rsid w:val="600A0D8E"/>
    <w:rsid w:val="60154E6E"/>
    <w:rsid w:val="60ED5FD6"/>
    <w:rsid w:val="61155F29"/>
    <w:rsid w:val="61C94E04"/>
    <w:rsid w:val="61D21D8A"/>
    <w:rsid w:val="629168E1"/>
    <w:rsid w:val="62940BC1"/>
    <w:rsid w:val="63896D70"/>
    <w:rsid w:val="638A0F62"/>
    <w:rsid w:val="64F50DF6"/>
    <w:rsid w:val="65190BE7"/>
    <w:rsid w:val="65614ECA"/>
    <w:rsid w:val="65AE00A5"/>
    <w:rsid w:val="66813253"/>
    <w:rsid w:val="689917A4"/>
    <w:rsid w:val="6A7334B3"/>
    <w:rsid w:val="6B9572C0"/>
    <w:rsid w:val="6B9A0B88"/>
    <w:rsid w:val="6BA8048A"/>
    <w:rsid w:val="6E407809"/>
    <w:rsid w:val="6E872E96"/>
    <w:rsid w:val="6E9F1049"/>
    <w:rsid w:val="70356342"/>
    <w:rsid w:val="745C7F2B"/>
    <w:rsid w:val="762043BC"/>
    <w:rsid w:val="7940681D"/>
    <w:rsid w:val="7C7125DF"/>
    <w:rsid w:val="7DD96873"/>
    <w:rsid w:val="7E910858"/>
    <w:rsid w:val="7F2349E4"/>
    <w:rsid w:val="7FF62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ody Text Indent"/>
    <w:basedOn w:val="1"/>
    <w:link w:val="17"/>
    <w:unhideWhenUsed/>
    <w:qFormat/>
    <w:uiPriority w:val="99"/>
    <w:pPr>
      <w:ind w:firstLine="420"/>
    </w:pPr>
    <w:rPr>
      <w:szCs w:val="21"/>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2"/>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paragraph" w:customStyle="1" w:styleId="11">
    <w:name w:val="表格文字"/>
    <w:basedOn w:val="1"/>
    <w:qFormat/>
    <w:uiPriority w:val="0"/>
    <w:pPr>
      <w:spacing w:before="25" w:after="25"/>
    </w:pPr>
    <w:rPr>
      <w:bCs/>
      <w:spacing w:val="10"/>
    </w:rPr>
  </w:style>
  <w:style w:type="character" w:customStyle="1" w:styleId="12">
    <w:name w:val="批注框文本 Char"/>
    <w:basedOn w:val="10"/>
    <w:link w:val="5"/>
    <w:semiHidden/>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页眉 Char"/>
    <w:basedOn w:val="10"/>
    <w:link w:val="7"/>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rPr>
      <w:rFonts w:ascii="Calibri" w:hAnsi="Calibri"/>
      <w:szCs w:val="22"/>
    </w:rPr>
  </w:style>
  <w:style w:type="character" w:customStyle="1" w:styleId="17">
    <w:name w:val="正文文本缩进 Char"/>
    <w:basedOn w:val="10"/>
    <w:link w:val="3"/>
    <w:qFormat/>
    <w:uiPriority w:val="99"/>
    <w:rPr>
      <w:rFonts w:ascii="Times New Roman" w:hAnsi="Times New Roman" w:eastAsia="宋体" w:cs="Times New Roman"/>
      <w:kern w:val="2"/>
      <w:sz w:val="21"/>
      <w:szCs w:val="21"/>
    </w:rPr>
  </w:style>
  <w:style w:type="paragraph" w:styleId="18">
    <w:name w:val="List Paragraph"/>
    <w:basedOn w:val="1"/>
    <w:qFormat/>
    <w:uiPriority w:val="99"/>
    <w:pPr>
      <w:ind w:firstLine="420" w:firstLineChars="200"/>
    </w:pPr>
  </w:style>
  <w:style w:type="character" w:customStyle="1" w:styleId="19">
    <w:name w:val="占位符文本1"/>
    <w:semiHidden/>
    <w:qFormat/>
    <w:uiPriority w:val="99"/>
    <w:rPr>
      <w:color w:val="808080"/>
    </w:rPr>
  </w:style>
  <w:style w:type="character" w:customStyle="1" w:styleId="20">
    <w:name w:val="占位符文本2"/>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5236</Words>
  <Characters>29847</Characters>
  <Lines>248</Lines>
  <Paragraphs>70</Paragraphs>
  <TotalTime>18</TotalTime>
  <ScaleCrop>false</ScaleCrop>
  <LinksUpToDate>false</LinksUpToDate>
  <CharactersWithSpaces>35013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2021-05-05T01:36:17Z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