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  <w:bookmarkStart w:id="14" w:name="_GoBack"/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-1091565</wp:posOffset>
            </wp:positionV>
            <wp:extent cx="7563485" cy="10696575"/>
            <wp:effectExtent l="0" t="0" r="18415" b="9525"/>
            <wp:wrapNone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江西锐克斯科技有限公司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0278-2021-QEO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刘增锦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18370530772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1792868858qq.com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Q：静电粉末的生产</w:t>
            </w:r>
          </w:p>
          <w:p>
            <w:r>
              <w:t>E：静电粉末的生产所涉及场所的相关环境管理活动</w:t>
            </w:r>
          </w:p>
          <w:p>
            <w:r>
              <w:t>O：静电粉末的生产所涉及场所的相关职业健康安全管理活动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Q：12.03.00</w:t>
            </w:r>
          </w:p>
          <w:p>
            <w:r>
              <w:t>E：12.03.00</w:t>
            </w:r>
          </w:p>
          <w:p>
            <w:r>
              <w:t>O：12.03.00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2021年04月30日 上午至2021年04月30日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褚敏杰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O:12.03.00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15170020221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ISC-68076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褚敏杰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2021.4.29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2021.4.29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2021.4.30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4.30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09：00-09：30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首次会议/管理层、各部门负责人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09：30-17：00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12：00-12：30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午餐</w:t>
            </w:r>
          </w:p>
        </w:tc>
        <w:tc>
          <w:tcPr>
            <w:tcW w:w="666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审核高层、办公室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生产部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供销部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了解受审核方基本概况，资质及部门设置、主管部门；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确定认证范围和经营场所；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理解相关方的需求和期望；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了解公司方针和目标及措施策划；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了解受审核方管理体系策划情况；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了解受审核方理解和实施标准要求的情况，特别是对管理体系的关键绩效、过程、和运作的识别情况；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了解受审核方产品实现过程的策划和实施控制情况；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了解受审核方生产提供控制情况；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环境、职业健康安全管理体系运行情况；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了解受审核方环境因素和危险源识别、重要环境因素和重大危险源控制措施策划；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了解受审核方文件、外来文件和环境、职业健康安全适用法律法规及其他要求控制情况；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合规性评价；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了解受审核方是否策划和实施了内部审核；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了解管理评审控制情况；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特种设备、环保、安全设施、监测设备；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必要时检查环境评价、安全评价、消防验收等情况.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验证资质；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国家/地方抽查、顾客满意、相关方投诉处理；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识别二阶段审核的资源配置情况和可行性；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现场观察；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商定第二阶段审核时间、细节等受审核方是否策划和实施了管理。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17:00-17:30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末次会议/管理层、各部门负责人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5）地理位置图、污水管网图；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B769DC"/>
    <w:rsid w:val="5E165354"/>
    <w:rsid w:val="77D232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lenovo1018</cp:lastModifiedBy>
  <cp:lastPrinted>2019-03-27T03:10:00Z</cp:lastPrinted>
  <dcterms:modified xsi:type="dcterms:W3CDTF">2021-05-05T02:35:20Z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