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受审核部门：高层、</w:t>
            </w:r>
            <w:r>
              <w:rPr>
                <w:rFonts w:hint="eastAsia"/>
                <w:sz w:val="24"/>
                <w:szCs w:val="24"/>
                <w:lang w:val="en-US" w:eastAsia="zh-CN"/>
              </w:rPr>
              <w:t>综合管理部</w:t>
            </w:r>
            <w:r>
              <w:rPr>
                <w:rFonts w:hint="eastAsia"/>
                <w:sz w:val="24"/>
                <w:szCs w:val="24"/>
              </w:rPr>
              <w:t>、生产部</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sz w:val="24"/>
                <w:szCs w:val="24"/>
                <w:lang w:val="en-US" w:eastAsia="zh-CN"/>
              </w:rPr>
              <w:t>胡藏粮、陈爱英、黄瑞金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肖志良                </w:t>
            </w:r>
            <w:r>
              <w:rPr>
                <w:rFonts w:hint="eastAsia"/>
                <w:sz w:val="24"/>
                <w:szCs w:val="24"/>
              </w:rPr>
              <w:t>审核时间：</w:t>
            </w:r>
            <w:r>
              <w:rPr>
                <w:rFonts w:hint="eastAsia"/>
                <w:sz w:val="24"/>
                <w:szCs w:val="24"/>
                <w:lang w:val="en-US" w:eastAsia="zh-CN"/>
              </w:rPr>
              <w:t>2021.5.9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审核条款：见计划</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sz w:val="21"/>
                <w:szCs w:val="21"/>
              </w:rPr>
            </w:pPr>
            <w:r>
              <w:rPr>
                <w:rFonts w:hint="eastAsia"/>
                <w:sz w:val="21"/>
                <w:szCs w:val="21"/>
              </w:rPr>
              <w:t>了解受审核方基本概况，资质及部门设置、主管部门。</w:t>
            </w:r>
          </w:p>
          <w:p>
            <w:r>
              <w:rPr>
                <w:rFonts w:hint="eastAsia"/>
                <w:sz w:val="21"/>
                <w:szCs w:val="21"/>
              </w:rPr>
              <w:t>确定认证范围和经营场所</w:t>
            </w:r>
          </w:p>
        </w:tc>
        <w:tc>
          <w:tcPr>
            <w:tcW w:w="960" w:type="dxa"/>
          </w:tcP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江西添瑞高分子新材料有限公司组建于2019年8月，注册资本1000万人民币。</w:t>
            </w:r>
          </w:p>
          <w:p>
            <w:pPr>
              <w:spacing w:line="360" w:lineRule="auto"/>
              <w:ind w:firstLine="420" w:firstLineChars="200"/>
              <w:rPr>
                <w:rFonts w:hint="eastAsia"/>
                <w:szCs w:val="22"/>
                <w:highlight w:val="none"/>
                <w:lang w:val="zh-CN"/>
              </w:rPr>
            </w:pPr>
            <w:r>
              <w:rPr>
                <w:rFonts w:hint="eastAsia"/>
                <w:szCs w:val="22"/>
                <w:highlight w:val="none"/>
                <w:lang w:val="en-US" w:eastAsia="zh-CN"/>
              </w:rPr>
              <w:t>公司注册地址：</w:t>
            </w:r>
            <w:r>
              <w:rPr>
                <w:rFonts w:hint="eastAsia"/>
                <w:szCs w:val="22"/>
                <w:highlight w:val="none"/>
                <w:lang w:val="zh-CN"/>
              </w:rPr>
              <w:t>江西省宜春市樟树市洲上乡工业园88号；</w:t>
            </w:r>
          </w:p>
          <w:p>
            <w:pPr>
              <w:pStyle w:val="2"/>
              <w:ind w:firstLine="460" w:firstLineChars="200"/>
              <w:rPr>
                <w:rFonts w:hint="eastAsia"/>
                <w:szCs w:val="22"/>
                <w:highlight w:val="none"/>
                <w:lang w:val="en-US" w:eastAsia="zh-CN"/>
              </w:rPr>
            </w:pPr>
            <w:r>
              <w:rPr>
                <w:rFonts w:hint="eastAsia"/>
                <w:szCs w:val="22"/>
                <w:highlight w:val="none"/>
                <w:lang w:val="en-US" w:eastAsia="zh-CN"/>
              </w:rPr>
              <w:t>生产经营地址：江西省宜春市樟树市张家山工业园区 园区中路。</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实际生产经营地址与注册地址不一致，详见变更传递单和信用信息系统查询截图。</w:t>
            </w:r>
          </w:p>
          <w:p>
            <w:pPr>
              <w:spacing w:line="360" w:lineRule="auto"/>
              <w:ind w:firstLine="420" w:firstLineChars="200"/>
              <w:rPr>
                <w:rFonts w:hint="default"/>
                <w:szCs w:val="22"/>
                <w:highlight w:val="none"/>
                <w:lang w:val="en-US" w:eastAsia="zh-CN"/>
              </w:rPr>
            </w:pPr>
            <w:r>
              <w:rPr>
                <w:rFonts w:hint="eastAsia"/>
                <w:szCs w:val="22"/>
                <w:highlight w:val="none"/>
                <w:lang w:val="zh-CN" w:eastAsia="zh-CN"/>
              </w:rPr>
              <w:t>公司占地面积2040平方米，厂房建筑面积为1805</w:t>
            </w:r>
            <w:r>
              <w:rPr>
                <w:rFonts w:hint="eastAsia"/>
                <w:szCs w:val="22"/>
                <w:highlight w:val="none"/>
                <w:lang w:val="en-US" w:eastAsia="zh-CN"/>
              </w:rPr>
              <w:t>平方米，</w:t>
            </w:r>
            <w:r>
              <w:rPr>
                <w:rFonts w:hint="eastAsia"/>
                <w:szCs w:val="22"/>
                <w:highlight w:val="none"/>
                <w:lang w:val="zh-CN" w:eastAsia="zh-CN"/>
              </w:rPr>
              <w:t>办公室建筑面积为</w:t>
            </w:r>
            <w:r>
              <w:rPr>
                <w:rFonts w:hint="eastAsia"/>
                <w:szCs w:val="22"/>
                <w:highlight w:val="none"/>
                <w:lang w:val="en-US" w:eastAsia="zh-CN"/>
              </w:rPr>
              <w:t>235平方米</w:t>
            </w:r>
            <w:r>
              <w:rPr>
                <w:rFonts w:hint="eastAsia"/>
                <w:szCs w:val="22"/>
                <w:highlight w:val="none"/>
                <w:lang w:val="zh-CN" w:eastAsia="zh-CN"/>
              </w:rPr>
              <w:t>。</w:t>
            </w:r>
            <w:r>
              <w:rPr>
                <w:rFonts w:hint="eastAsia"/>
                <w:szCs w:val="22"/>
                <w:highlight w:val="none"/>
                <w:lang w:val="en-US" w:eastAsia="zh-CN"/>
              </w:rPr>
              <w:t>现有员工15人。</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管理手册中明确了认证范围：QE高分子新材料（黑色母粒）的生产及其所涉及场所的相关环境管理活动。在营业执照范围之内。</w:t>
            </w:r>
          </w:p>
          <w:p>
            <w:pPr>
              <w:spacing w:line="360" w:lineRule="auto"/>
              <w:ind w:firstLine="420" w:firstLineChars="200"/>
              <w:rPr>
                <w:rFonts w:hint="eastAsia"/>
                <w:highlight w:val="none"/>
              </w:rPr>
            </w:pPr>
            <w:r>
              <w:rPr>
                <w:rFonts w:hint="eastAsia"/>
                <w:szCs w:val="22"/>
                <w:highlight w:val="none"/>
                <w:lang w:val="en-US" w:eastAsia="zh-CN"/>
              </w:rPr>
              <w:t>主要设备有高混机、冷混机、上料机、破</w:t>
            </w:r>
            <w:r>
              <w:rPr>
                <w:rFonts w:hint="eastAsia"/>
                <w:highlight w:val="none"/>
              </w:rPr>
              <w:t>碎机、挤出机、震动筛、注塑机、磨粉机等；</w:t>
            </w:r>
          </w:p>
          <w:p>
            <w:pPr>
              <w:spacing w:line="360" w:lineRule="auto"/>
              <w:ind w:firstLine="420" w:firstLineChars="200"/>
              <w:rPr>
                <w:rFonts w:hint="eastAsia"/>
                <w:color w:val="auto"/>
                <w:highlight w:val="none"/>
              </w:rPr>
            </w:pPr>
            <w:r>
              <w:rPr>
                <w:rFonts w:hint="eastAsia"/>
                <w:color w:val="auto"/>
                <w:highlight w:val="none"/>
              </w:rPr>
              <w:t>主要检测设备包括：游标卡尺、钢卷尺、</w:t>
            </w:r>
            <w:r>
              <w:rPr>
                <w:rFonts w:hint="eastAsia"/>
                <w:color w:val="auto"/>
                <w:highlight w:val="none"/>
                <w:lang w:val="en-US" w:eastAsia="zh-CN"/>
              </w:rPr>
              <w:t>压力表、融指仪</w:t>
            </w:r>
            <w:r>
              <w:rPr>
                <w:rFonts w:hint="eastAsia"/>
                <w:color w:val="auto"/>
                <w:highlight w:val="none"/>
              </w:rPr>
              <w:t>等；</w:t>
            </w:r>
          </w:p>
          <w:p>
            <w:pPr>
              <w:spacing w:line="360" w:lineRule="auto"/>
              <w:ind w:firstLine="420" w:firstLineChars="200"/>
              <w:rPr>
                <w:rFonts w:hint="default" w:eastAsia="宋体"/>
                <w:color w:val="auto"/>
                <w:lang w:val="en-US" w:eastAsia="zh-CN"/>
              </w:rPr>
            </w:pPr>
            <w:r>
              <w:rPr>
                <w:rFonts w:hint="eastAsia"/>
                <w:color w:val="auto"/>
                <w:highlight w:val="none"/>
                <w:lang w:val="en-US" w:eastAsia="zh-CN"/>
              </w:rPr>
              <w:t>主要环保设备包括：废气处理设施(布袋除尘装置、UV光解+二级活性炭吸附装置)和噪声、固废处置设施、循环水冷却塔等；</w:t>
            </w:r>
          </w:p>
          <w:p>
            <w:pPr>
              <w:spacing w:line="360" w:lineRule="auto"/>
              <w:ind w:firstLine="420" w:firstLineChars="200"/>
              <w:rPr>
                <w:rFonts w:hint="eastAsia"/>
                <w:highlight w:val="none"/>
              </w:rPr>
            </w:pPr>
            <w:r>
              <w:rPr>
                <w:rFonts w:hint="eastAsia"/>
                <w:highlight w:val="none"/>
              </w:rPr>
              <w:t>公司设置有</w:t>
            </w:r>
            <w:r>
              <w:rPr>
                <w:rFonts w:hint="eastAsia"/>
                <w:highlight w:val="none"/>
                <w:lang w:val="en-US" w:eastAsia="zh-CN"/>
              </w:rPr>
              <w:t>综合管理部</w:t>
            </w:r>
            <w:r>
              <w:rPr>
                <w:rFonts w:hint="eastAsia"/>
                <w:highlight w:val="none"/>
                <w:lang w:eastAsia="zh-CN"/>
              </w:rPr>
              <w:t>、</w:t>
            </w:r>
            <w:r>
              <w:rPr>
                <w:rFonts w:hint="eastAsia"/>
                <w:highlight w:val="none"/>
              </w:rPr>
              <w:t>生产部。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外部因素——国际经济政治形势、材料价格变动、竞争对手、客户需求的变化、新技术的采用等；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理解相关方的需求和期望</w:t>
            </w:r>
          </w:p>
        </w:tc>
        <w:tc>
          <w:tcPr>
            <w:tcW w:w="960" w:type="dxa"/>
          </w:tcPr>
          <w:p/>
        </w:tc>
        <w:tc>
          <w:tcPr>
            <w:tcW w:w="10004" w:type="dxa"/>
          </w:tcPr>
          <w:p>
            <w:pPr>
              <w:spacing w:line="360" w:lineRule="auto"/>
              <w:ind w:firstLine="420" w:firstLineChars="200"/>
              <w:rPr>
                <w:rFonts w:hint="eastAsia"/>
              </w:rPr>
            </w:pPr>
            <w:r>
              <w:rPr>
                <w:rFonts w:hint="eastAsia"/>
              </w:rPr>
              <w:t>公司内外部相关方包括：顾客、员工、政府、技术监督局</w:t>
            </w:r>
            <w:r>
              <w:rPr>
                <w:rFonts w:hint="eastAsia"/>
                <w:lang w:eastAsia="zh-CN"/>
              </w:rPr>
              <w:t>、</w:t>
            </w:r>
            <w:r>
              <w:rPr>
                <w:rFonts w:hint="eastAsia"/>
              </w:rPr>
              <w:t>供方及合作伙伴</w:t>
            </w:r>
            <w:r>
              <w:rPr>
                <w:rFonts w:hint="eastAsia"/>
                <w:lang w:eastAsia="zh-CN"/>
              </w:rPr>
              <w:t>、其他受本公司活动影响的团体或个人</w:t>
            </w:r>
            <w:r>
              <w:rPr>
                <w:rFonts w:hint="eastAsia"/>
              </w:rPr>
              <w:t>等；</w:t>
            </w:r>
          </w:p>
          <w:p>
            <w:pPr>
              <w:spacing w:line="360" w:lineRule="auto"/>
              <w:ind w:firstLine="420" w:firstLineChars="200"/>
            </w:pPr>
            <w:r>
              <w:rPr>
                <w:rFonts w:hint="eastAsia"/>
              </w:rPr>
              <w:t>公司明确了相关方要求与期望、监测指标或项目、监测频率、监测部门等。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sz w:val="21"/>
                <w:szCs w:val="21"/>
                <w:lang w:val="en-US" w:eastAsia="zh-CN"/>
              </w:rPr>
              <w:t>了解公司方针和目标及措施策划</w:t>
            </w:r>
          </w:p>
        </w:tc>
        <w:tc>
          <w:tcPr>
            <w:tcW w:w="960" w:type="dxa"/>
          </w:tcPr>
          <w:p/>
        </w:tc>
        <w:tc>
          <w:tcPr>
            <w:tcW w:w="10004" w:type="dxa"/>
          </w:tcPr>
          <w:p>
            <w:pPr>
              <w:pStyle w:val="3"/>
              <w:ind w:firstLine="420" w:firstLineChars="200"/>
              <w:rPr>
                <w:rFonts w:hint="eastAsia"/>
                <w:szCs w:val="22"/>
                <w:lang w:val="en-US" w:eastAsia="zh-CN"/>
              </w:rPr>
            </w:pPr>
            <w:r>
              <w:rPr>
                <w:rFonts w:hint="eastAsia"/>
                <w:szCs w:val="22"/>
                <w:lang w:val="en-US" w:eastAsia="zh-CN"/>
              </w:rPr>
              <w:t>1.质量、环境方针：</w:t>
            </w:r>
          </w:p>
          <w:p>
            <w:pPr>
              <w:pStyle w:val="3"/>
              <w:ind w:firstLine="420" w:firstLineChars="200"/>
              <w:rPr>
                <w:rFonts w:hint="eastAsia"/>
                <w:szCs w:val="22"/>
                <w:lang w:val="en-US" w:eastAsia="zh-CN"/>
              </w:rPr>
            </w:pPr>
            <w:r>
              <w:rPr>
                <w:rFonts w:hint="eastAsia"/>
                <w:szCs w:val="22"/>
                <w:lang w:val="en-US" w:eastAsia="zh-CN"/>
              </w:rPr>
              <w:t>质量方针：科技先行、质量为本、顾客满意、持续改进</w:t>
            </w:r>
          </w:p>
          <w:p>
            <w:pPr>
              <w:pStyle w:val="3"/>
              <w:ind w:firstLine="420" w:firstLineChars="200"/>
              <w:rPr>
                <w:rFonts w:hint="eastAsia"/>
                <w:szCs w:val="22"/>
                <w:lang w:val="en-US" w:eastAsia="zh-CN"/>
              </w:rPr>
            </w:pPr>
            <w:r>
              <w:rPr>
                <w:rFonts w:hint="eastAsia"/>
                <w:szCs w:val="22"/>
                <w:lang w:val="en-US" w:eastAsia="zh-CN"/>
              </w:rPr>
              <w:t>环境方针：遵纪守法，保障员工权利；污染预防，承担社会责任</w:t>
            </w:r>
          </w:p>
          <w:p>
            <w:pPr>
              <w:pStyle w:val="3"/>
              <w:ind w:firstLine="420" w:firstLineChars="200"/>
              <w:rPr>
                <w:rFonts w:hint="eastAsia"/>
              </w:rPr>
            </w:pPr>
            <w:r>
              <w:rPr>
                <w:rFonts w:hint="eastAsia"/>
              </w:rPr>
              <w:t>2.管理目标：</w:t>
            </w:r>
          </w:p>
          <w:p>
            <w:pPr>
              <w:pStyle w:val="3"/>
              <w:ind w:firstLine="840" w:firstLineChars="400"/>
              <w:rPr>
                <w:rFonts w:hint="eastAsia"/>
              </w:rPr>
            </w:pPr>
            <w:r>
              <w:rPr>
                <w:rFonts w:hint="eastAsia"/>
              </w:rPr>
              <w:t>质量目标：产品出厂合格率100%</w:t>
            </w:r>
            <w:r>
              <w:rPr>
                <w:rFonts w:hint="eastAsia"/>
                <w:lang w:eastAsia="zh-CN"/>
              </w:rPr>
              <w:t>；</w:t>
            </w:r>
            <w:r>
              <w:rPr>
                <w:rFonts w:hint="eastAsia"/>
              </w:rPr>
              <w:t xml:space="preserve">顾客满意度92分以上 </w:t>
            </w:r>
          </w:p>
          <w:p>
            <w:pPr>
              <w:pStyle w:val="3"/>
              <w:ind w:firstLine="840" w:firstLineChars="400"/>
              <w:rPr>
                <w:rFonts w:hint="eastAsia"/>
                <w:lang w:eastAsia="zh-CN"/>
              </w:rPr>
            </w:pPr>
            <w:r>
              <w:rPr>
                <w:rFonts w:hint="eastAsia"/>
              </w:rPr>
              <w:t>环境目标：固体废弃物分类管理，处理率为100%；火灾事故为0</w:t>
            </w:r>
            <w:r>
              <w:rPr>
                <w:rFonts w:hint="eastAsia"/>
                <w:lang w:eastAsia="zh-CN"/>
              </w:rPr>
              <w:t>。</w:t>
            </w:r>
          </w:p>
          <w:p>
            <w:pPr>
              <w:pStyle w:val="3"/>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环境管理目标、指标及其管理方案一览表</w:t>
            </w:r>
            <w:r>
              <w:rPr>
                <w:rFonts w:hint="eastAsia"/>
                <w:lang w:val="en-US" w:eastAsia="zh-CN"/>
              </w:rPr>
              <w:t>”，对重要环境因素控制进行了策划；</w:t>
            </w:r>
          </w:p>
          <w:p>
            <w:pPr>
              <w:spacing w:line="360" w:lineRule="auto"/>
              <w:ind w:firstLine="420" w:firstLineChars="200"/>
              <w:rPr>
                <w:rFonts w:hint="eastAsia"/>
                <w:color w:val="auto"/>
                <w:lang w:val="en-US" w:eastAsia="zh-CN"/>
              </w:rPr>
            </w:pPr>
            <w:r>
              <w:rPr>
                <w:rFonts w:hint="eastAsia"/>
                <w:color w:val="auto"/>
                <w:lang w:val="en-US" w:eastAsia="zh-CN"/>
              </w:rPr>
              <w:t>通过“</w:t>
            </w:r>
            <w:r>
              <w:rPr>
                <w:rFonts w:hint="default"/>
                <w:color w:val="auto"/>
                <w:lang w:val="en-US" w:eastAsia="zh-CN"/>
              </w:rPr>
              <w:t>目标实施措施表</w:t>
            </w:r>
            <w:r>
              <w:rPr>
                <w:rFonts w:hint="eastAsia"/>
                <w:color w:val="auto"/>
                <w:lang w:val="en-US" w:eastAsia="zh-CN"/>
              </w:rPr>
              <w:t>”，对目标进行分解到各部门，并策划了实现措施；</w:t>
            </w:r>
          </w:p>
          <w:p>
            <w:pPr>
              <w:pStyle w:val="3"/>
              <w:ind w:firstLine="396" w:firstLineChars="200"/>
              <w:rPr>
                <w:rFonts w:hint="default"/>
                <w:lang w:val="en-US" w:eastAsia="zh-CN"/>
              </w:rPr>
            </w:pPr>
            <w:r>
              <w:rPr>
                <w:rFonts w:hint="default" w:ascii="宋体" w:hAnsi="宋体" w:cs="Arial"/>
                <w:color w:val="auto"/>
                <w:spacing w:val="-6"/>
                <w:sz w:val="21"/>
                <w:szCs w:val="21"/>
                <w:lang w:val="en-US" w:eastAsia="zh-CN"/>
              </w:rPr>
              <w:t>202</w:t>
            </w:r>
            <w:r>
              <w:rPr>
                <w:rFonts w:hint="eastAsia" w:ascii="宋体" w:hAnsi="宋体" w:cs="Arial"/>
                <w:color w:val="auto"/>
                <w:spacing w:val="-6"/>
                <w:sz w:val="21"/>
                <w:szCs w:val="21"/>
                <w:lang w:val="en-US" w:eastAsia="zh-CN"/>
              </w:rPr>
              <w:t>1</w:t>
            </w:r>
            <w:r>
              <w:rPr>
                <w:rFonts w:hint="default" w:ascii="宋体" w:hAnsi="宋体" w:cs="Arial"/>
                <w:color w:val="auto"/>
                <w:spacing w:val="-6"/>
                <w:sz w:val="21"/>
                <w:szCs w:val="21"/>
                <w:lang w:val="en-US" w:eastAsia="zh-CN"/>
              </w:rPr>
              <w:t>年</w:t>
            </w:r>
            <w:r>
              <w:rPr>
                <w:rFonts w:hint="eastAsia" w:ascii="宋体" w:hAnsi="宋体" w:cs="Arial"/>
                <w:color w:val="auto"/>
                <w:spacing w:val="-6"/>
                <w:sz w:val="21"/>
                <w:szCs w:val="21"/>
                <w:lang w:val="en-US" w:eastAsia="zh-CN"/>
              </w:rPr>
              <w:t>3月的“目标考核表”</w:t>
            </w:r>
            <w:r>
              <w:rPr>
                <w:rFonts w:hint="default" w:ascii="宋体" w:hAnsi="宋体" w:cs="Arial"/>
                <w:color w:val="auto"/>
                <w:spacing w:val="-6"/>
                <w:sz w:val="21"/>
                <w:szCs w:val="21"/>
                <w:lang w:val="en-US" w:eastAsia="zh-CN"/>
              </w:rPr>
              <w:t>，显示目标均已全部完成。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rPr>
            </w:pPr>
            <w:r>
              <w:rPr>
                <w:rFonts w:hint="eastAsia"/>
              </w:rPr>
              <w:t>了解受审核方管理体系策划情况</w:t>
            </w:r>
          </w:p>
          <w:p>
            <w:r>
              <w:rPr>
                <w:rFonts w:hint="eastAsia"/>
              </w:rPr>
              <w:t>了解受审核方理解和实施标准要求的情况，特别是对管理体系的关键绩效、过程、和运作的识别情况</w:t>
            </w:r>
          </w:p>
        </w:tc>
        <w:tc>
          <w:tcPr>
            <w:tcW w:w="960" w:type="dxa"/>
          </w:tcPr>
          <w:p/>
        </w:tc>
        <w:tc>
          <w:tcPr>
            <w:tcW w:w="10004" w:type="dxa"/>
          </w:tcPr>
          <w:p>
            <w:pPr>
              <w:spacing w:line="360" w:lineRule="auto"/>
              <w:ind w:firstLine="420" w:firstLineChars="200"/>
              <w:rPr>
                <w:rFonts w:hint="eastAsia"/>
              </w:rPr>
            </w:pPr>
            <w:r>
              <w:rPr>
                <w:rFonts w:hint="eastAsia"/>
              </w:rPr>
              <w:t>质量、环境管理体系于2020</w:t>
            </w:r>
            <w:r>
              <w:rPr>
                <w:rFonts w:hint="eastAsia"/>
                <w:lang w:val="en-US" w:eastAsia="zh-CN"/>
              </w:rPr>
              <w:t>年</w:t>
            </w:r>
            <w:r>
              <w:rPr>
                <w:rFonts w:hint="eastAsia"/>
              </w:rPr>
              <w:t>12</w:t>
            </w:r>
            <w:r>
              <w:rPr>
                <w:rFonts w:hint="eastAsia"/>
                <w:lang w:val="en-US" w:eastAsia="zh-CN"/>
              </w:rPr>
              <w:t>月</w:t>
            </w:r>
            <w:r>
              <w:rPr>
                <w:rFonts w:hint="eastAsia"/>
              </w:rPr>
              <w:t>01</w:t>
            </w:r>
            <w:r>
              <w:rPr>
                <w:rFonts w:hint="eastAsia"/>
                <w:lang w:val="en-US" w:eastAsia="zh-CN"/>
              </w:rPr>
              <w:t>日</w:t>
            </w:r>
            <w:r>
              <w:rPr>
                <w:rFonts w:hint="eastAsia"/>
              </w:rPr>
              <w:t>建立并正式实施。</w:t>
            </w:r>
          </w:p>
          <w:p>
            <w:pPr>
              <w:spacing w:line="360" w:lineRule="auto"/>
              <w:ind w:firstLine="420" w:firstLineChars="200"/>
              <w:rPr>
                <w:rFonts w:hint="eastAsia"/>
              </w:rPr>
            </w:pPr>
            <w:r>
              <w:rPr>
                <w:rFonts w:hint="eastAsia"/>
                <w:lang w:val="en-US" w:eastAsia="zh-CN"/>
              </w:rPr>
              <w:t>管理手册——A/0，</w:t>
            </w:r>
            <w:r>
              <w:rPr>
                <w:rFonts w:hint="eastAsia"/>
              </w:rPr>
              <w:t>2020</w:t>
            </w:r>
            <w:r>
              <w:rPr>
                <w:rFonts w:hint="eastAsia"/>
                <w:lang w:val="en-US" w:eastAsia="zh-CN"/>
              </w:rPr>
              <w:t>年</w:t>
            </w:r>
            <w:r>
              <w:rPr>
                <w:rFonts w:hint="eastAsia"/>
              </w:rPr>
              <w:t>12</w:t>
            </w:r>
            <w:r>
              <w:rPr>
                <w:rFonts w:hint="eastAsia"/>
                <w:lang w:val="en-US" w:eastAsia="zh-CN"/>
              </w:rPr>
              <w:t>月</w:t>
            </w:r>
            <w:r>
              <w:rPr>
                <w:rFonts w:hint="eastAsia"/>
              </w:rPr>
              <w:t>01</w:t>
            </w:r>
            <w:r>
              <w:rPr>
                <w:rFonts w:hint="eastAsia"/>
                <w:lang w:val="en-US" w:eastAsia="zh-CN"/>
              </w:rPr>
              <w:t>日；</w:t>
            </w:r>
          </w:p>
          <w:p>
            <w:pPr>
              <w:spacing w:line="360" w:lineRule="auto"/>
              <w:ind w:firstLine="420" w:firstLineChars="200"/>
              <w:rPr>
                <w:rFonts w:hint="eastAsia"/>
                <w:lang w:val="en-US" w:eastAsia="zh-CN"/>
              </w:rPr>
            </w:pPr>
            <w:r>
              <w:rPr>
                <w:rFonts w:hint="eastAsia"/>
                <w:lang w:val="en-US" w:eastAsia="zh-CN"/>
              </w:rPr>
              <w:t>程序文件——A/0，</w:t>
            </w:r>
            <w:r>
              <w:rPr>
                <w:rFonts w:hint="eastAsia"/>
              </w:rPr>
              <w:t>2020</w:t>
            </w:r>
            <w:r>
              <w:rPr>
                <w:rFonts w:hint="eastAsia"/>
                <w:lang w:val="en-US" w:eastAsia="zh-CN"/>
              </w:rPr>
              <w:t>年</w:t>
            </w:r>
            <w:r>
              <w:rPr>
                <w:rFonts w:hint="eastAsia"/>
              </w:rPr>
              <w:t>12</w:t>
            </w:r>
            <w:r>
              <w:rPr>
                <w:rFonts w:hint="eastAsia"/>
                <w:lang w:val="en-US" w:eastAsia="zh-CN"/>
              </w:rPr>
              <w:t>月</w:t>
            </w:r>
            <w:r>
              <w:rPr>
                <w:rFonts w:hint="eastAsia"/>
              </w:rPr>
              <w:t>01</w:t>
            </w:r>
            <w:r>
              <w:rPr>
                <w:rFonts w:hint="eastAsia"/>
                <w:lang w:val="en-US" w:eastAsia="zh-CN"/>
              </w:rPr>
              <w:t>日</w:t>
            </w:r>
            <w:r>
              <w:rPr>
                <w:rFonts w:hint="eastAsia"/>
                <w:lang w:eastAsia="zh-CN"/>
              </w:rPr>
              <w:t>，</w:t>
            </w:r>
            <w:r>
              <w:rPr>
                <w:rFonts w:hint="eastAsia"/>
                <w:lang w:val="en-US" w:eastAsia="zh-CN"/>
              </w:rPr>
              <w:t>24个；</w:t>
            </w:r>
          </w:p>
          <w:p>
            <w:pPr>
              <w:spacing w:line="360" w:lineRule="auto"/>
              <w:ind w:firstLine="420" w:firstLineChars="200"/>
              <w:rPr>
                <w:rFonts w:hint="default"/>
                <w:szCs w:val="22"/>
                <w:lang w:val="en-US" w:eastAsia="zh-CN"/>
              </w:rPr>
            </w:pPr>
            <w:r>
              <w:rPr>
                <w:rFonts w:hint="eastAsia"/>
                <w:szCs w:val="22"/>
                <w:lang w:val="en-US" w:eastAsia="zh-CN"/>
              </w:rPr>
              <w:t>管理文件——环境作业指导书、水电及安全管理制度、检测器具管理制度、设备的使用管理规定、设备保养维修制度、特种作业人员持证上岗制度、消防安全管理制度等；</w:t>
            </w:r>
          </w:p>
          <w:p>
            <w:pPr>
              <w:spacing w:line="360" w:lineRule="auto"/>
              <w:ind w:firstLine="420" w:firstLineChars="200"/>
              <w:rPr>
                <w:rFonts w:hint="default"/>
                <w:lang w:val="en-US" w:eastAsia="zh-CN"/>
              </w:rPr>
            </w:pPr>
            <w:r>
              <w:rPr>
                <w:rFonts w:hint="eastAsia"/>
                <w:lang w:val="en-US" w:eastAsia="zh-CN"/>
              </w:rPr>
              <w:t>建立有外来文件清单，收集相关标准和法律等13个；</w:t>
            </w:r>
          </w:p>
          <w:p>
            <w:pPr>
              <w:spacing w:line="360" w:lineRule="auto"/>
              <w:ind w:firstLine="420" w:firstLineChars="200"/>
              <w:rPr>
                <w:rFonts w:hint="eastAsia"/>
                <w:lang w:val="en-US" w:eastAsia="zh-CN"/>
              </w:rPr>
            </w:pPr>
            <w:r>
              <w:rPr>
                <w:rFonts w:hint="eastAsia"/>
                <w:lang w:val="en-US" w:eastAsia="zh-CN"/>
              </w:rPr>
              <w:t>建立环境法律法规和其他要求清单，收集中华人民共和国大气污染防治法、中华人民共和国固体废物污染环境防治法、中华人民共和国环境保护法、中华人民共和国环境噪声污染防治法、中华人民共和国水污染防治法等90个。</w:t>
            </w:r>
          </w:p>
          <w:p>
            <w:pPr>
              <w:spacing w:line="360" w:lineRule="auto"/>
              <w:ind w:firstLine="420" w:firstLineChars="200"/>
              <w:rPr>
                <w:rFonts w:hint="eastAsia"/>
                <w:color w:val="auto"/>
                <w:lang w:val="en-US" w:eastAsia="zh-CN"/>
              </w:rPr>
            </w:pPr>
            <w:r>
              <w:rPr>
                <w:rFonts w:hint="eastAsia"/>
                <w:color w:val="auto"/>
                <w:lang w:val="en-US" w:eastAsia="zh-CN"/>
              </w:rPr>
              <w:t>识别了目标管理、资源管理、文件管理、采购、生产、绩效监测、改进等过程。</w:t>
            </w:r>
          </w:p>
          <w:p>
            <w:pPr>
              <w:spacing w:line="360" w:lineRule="auto"/>
              <w:ind w:firstLine="396" w:firstLineChars="200"/>
            </w:pPr>
            <w:r>
              <w:rPr>
                <w:rFonts w:hint="eastAsia" w:ascii="宋体" w:hAnsi="宋体" w:cs="Arial"/>
                <w:color w:val="auto"/>
                <w:spacing w:val="-6"/>
                <w:sz w:val="21"/>
                <w:szCs w:val="21"/>
                <w:lang w:val="en-US" w:eastAsia="zh-CN"/>
              </w:rPr>
              <w:t>Q:8.3条款删减。本公司生产的高分子新材料（黑色母粒）,均按照国家标准（顾客指定）要求组织生产，其生产过程不涉及GB/T19001-2016/ISO 9001：2015标准中的8.3条款内容，其不适用的要求不影响组织确保其产品和服务合格的能力和责任，对增强顾客满意也不会产生影响。删减基本合理。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了解受审核方</w:t>
            </w:r>
            <w:r>
              <w:rPr>
                <w:rFonts w:hint="eastAsia" w:ascii="宋体" w:hAnsi="宋体" w:cs="宋体"/>
                <w:sz w:val="21"/>
                <w:szCs w:val="21"/>
                <w:lang w:val="en-US" w:eastAsia="zh-CN"/>
              </w:rPr>
              <w:t>产品</w:t>
            </w:r>
            <w:r>
              <w:rPr>
                <w:rFonts w:hint="eastAsia" w:ascii="宋体" w:hAnsi="宋体" w:eastAsia="宋体" w:cs="宋体"/>
                <w:sz w:val="21"/>
                <w:szCs w:val="21"/>
              </w:rPr>
              <w:t>实现过程的策划和实施控制情况；</w:t>
            </w:r>
          </w:p>
          <w:p>
            <w:pPr>
              <w:rPr>
                <w:rFonts w:hint="eastAsia"/>
              </w:rPr>
            </w:pPr>
            <w:r>
              <w:rPr>
                <w:rFonts w:hint="eastAsia" w:ascii="宋体" w:hAnsi="宋体" w:eastAsia="宋体" w:cs="宋体"/>
                <w:color w:val="auto"/>
                <w:sz w:val="21"/>
                <w:szCs w:val="21"/>
                <w:highlight w:val="none"/>
              </w:rPr>
              <w:t>了解受审核方</w:t>
            </w:r>
            <w:r>
              <w:rPr>
                <w:rFonts w:hint="eastAsia" w:ascii="宋体" w:hAnsi="宋体" w:cs="宋体"/>
                <w:color w:val="auto"/>
                <w:sz w:val="21"/>
                <w:szCs w:val="21"/>
                <w:highlight w:val="none"/>
                <w:lang w:val="en-US" w:eastAsia="zh-CN"/>
              </w:rPr>
              <w:t>生产提供控制</w:t>
            </w:r>
            <w:r>
              <w:rPr>
                <w:rFonts w:hint="eastAsia" w:ascii="宋体" w:hAnsi="宋体" w:eastAsia="宋体" w:cs="宋体"/>
                <w:color w:val="auto"/>
                <w:sz w:val="21"/>
                <w:szCs w:val="21"/>
                <w:highlight w:val="none"/>
              </w:rPr>
              <w:t>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工艺流程图</w:t>
            </w:r>
          </w:p>
          <w:p>
            <w:pPr>
              <w:spacing w:line="360" w:lineRule="auto"/>
              <w:ind w:firstLine="420" w:firstLineChars="200"/>
              <w:rPr>
                <w:rFonts w:hint="eastAsia"/>
                <w:lang w:val="en-US" w:eastAsia="zh-CN"/>
              </w:rPr>
            </w:pPr>
            <w:r>
              <w:rPr>
                <w:rFonts w:hint="eastAsia"/>
                <w:lang w:val="en-US" w:eastAsia="zh-CN"/>
              </w:rPr>
              <w:t>破碎—配料—混合—熔融挤出—切割—筛分—抽检—包装—入库</w:t>
            </w:r>
          </w:p>
          <w:p>
            <w:pPr>
              <w:spacing w:line="360" w:lineRule="auto"/>
              <w:ind w:firstLine="420" w:firstLineChars="200"/>
              <w:rPr>
                <w:rFonts w:hint="eastAsia"/>
                <w:lang w:val="en-US" w:eastAsia="zh-CN"/>
              </w:rPr>
            </w:pPr>
            <w:r>
              <w:rPr>
                <w:rFonts w:hint="eastAsia"/>
                <w:lang w:val="en-US" w:eastAsia="zh-CN"/>
              </w:rPr>
              <w:t>关键过程：配料、熔融挤出。</w:t>
            </w:r>
          </w:p>
          <w:p>
            <w:pPr>
              <w:spacing w:line="360" w:lineRule="auto"/>
              <w:ind w:firstLine="420" w:firstLineChars="200"/>
              <w:rPr>
                <w:rFonts w:hint="eastAsia"/>
                <w:lang w:val="en-US" w:eastAsia="zh-CN"/>
              </w:rPr>
            </w:pPr>
            <w:r>
              <w:rPr>
                <w:rFonts w:hint="eastAsia"/>
                <w:lang w:val="en-US" w:eastAsia="zh-CN"/>
              </w:rPr>
              <w:t>需确认过程为熔融挤出工序。</w:t>
            </w:r>
          </w:p>
          <w:p>
            <w:pPr>
              <w:spacing w:line="360" w:lineRule="auto"/>
              <w:ind w:firstLine="420" w:firstLineChars="200"/>
              <w:rPr>
                <w:rFonts w:hint="default" w:eastAsia="宋体"/>
                <w:lang w:val="en-US" w:eastAsia="zh-CN"/>
              </w:rPr>
            </w:pPr>
            <w:r>
              <w:rPr>
                <w:rFonts w:hint="eastAsia"/>
                <w:lang w:val="en-US" w:eastAsia="zh-CN"/>
              </w:rPr>
              <w:t>现场观察，生产正常有序开展，控制有效。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sz w:val="21"/>
                <w:szCs w:val="21"/>
              </w:rPr>
              <w:t>环境、职业健康安全管理体系</w:t>
            </w:r>
            <w:r>
              <w:rPr>
                <w:rFonts w:hint="eastAsia"/>
                <w:sz w:val="21"/>
                <w:szCs w:val="21"/>
                <w:lang w:val="en-US" w:eastAsia="zh-CN"/>
              </w:rPr>
              <w:t>运行</w:t>
            </w:r>
            <w:r>
              <w:rPr>
                <w:rFonts w:hint="eastAsia"/>
                <w:sz w:val="21"/>
                <w:szCs w:val="21"/>
              </w:rPr>
              <w:t>情况；</w:t>
            </w:r>
          </w:p>
        </w:tc>
        <w:tc>
          <w:tcPr>
            <w:tcW w:w="960" w:type="dxa"/>
          </w:tcPr>
          <w:p/>
        </w:tc>
        <w:tc>
          <w:tcPr>
            <w:tcW w:w="10004" w:type="dxa"/>
          </w:tcPr>
          <w:p>
            <w:pPr>
              <w:ind w:firstLine="420" w:firstLineChars="200"/>
            </w:pPr>
            <w:r>
              <w:rPr>
                <w:rFonts w:hint="eastAsia" w:ascii="Times New Roman" w:hAnsi="Times New Roman" w:eastAsia="宋体" w:cs="Times New Roman"/>
                <w:szCs w:val="22"/>
                <w:lang w:val="en-US" w:eastAsia="zh-CN"/>
              </w:rPr>
              <w:t>环境、职业健康安全管理体系运行有效。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了解受审核方环境因素和危险源识别、重要环境因素和重大危险源控制措施策划</w:t>
            </w:r>
            <w:r>
              <w:rPr>
                <w:rFonts w:hint="eastAsia"/>
                <w:sz w:val="21"/>
                <w:szCs w:val="21"/>
                <w:lang w:eastAsia="zh-CN"/>
              </w:rPr>
              <w:t>；</w:t>
            </w:r>
          </w:p>
        </w:tc>
        <w:tc>
          <w:tcPr>
            <w:tcW w:w="960" w:type="dxa"/>
          </w:tcPr>
          <w:p/>
        </w:tc>
        <w:tc>
          <w:tcPr>
            <w:tcW w:w="10004" w:type="dxa"/>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保留重要环境因素清单：</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重要环境因素：噪声排放、潜在火灾/爆炸、粉尘排放、固废排放，基本合理。</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控制措施：</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通用措施——</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固（危）废——</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一般固废集中收集外售；办公危废以旧换新由供应商带回；</w:t>
            </w:r>
            <w:r>
              <w:rPr>
                <w:rFonts w:hint="eastAsia" w:cs="Times New Roman"/>
                <w:szCs w:val="22"/>
                <w:lang w:val="en-US" w:eastAsia="zh-CN"/>
              </w:rPr>
              <w:t>生产</w:t>
            </w:r>
            <w:r>
              <w:rPr>
                <w:rFonts w:hint="eastAsia" w:ascii="Times New Roman" w:hAnsi="Times New Roman" w:eastAsia="宋体" w:cs="Times New Roman"/>
                <w:szCs w:val="22"/>
                <w:lang w:val="en-US" w:eastAsia="zh-CN"/>
              </w:rPr>
              <w:t>危废委托有资质单位回收；</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噪声排放——</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选用低噪声设备，合理布局，隔声减震，厂房隔音；</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潜在火灾/爆炸——</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设备、电路定期检修、检查，人员持证上岗；配置消防器材、做好火灾预防措施；</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废气排放——</w:t>
            </w:r>
          </w:p>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熔融挤出工序产生的有机废气和臭气经集气罩收集后</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通过</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UⅤ光解+二级活性炭吸附</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装置+</w:t>
            </w:r>
            <w:r>
              <w:rPr>
                <w:rFonts w:hint="eastAsia" w:ascii="Times New Roman" w:hAnsi="Times New Roman" w:eastAsia="宋体" w:cs="Times New Roman"/>
                <w:szCs w:val="22"/>
                <w:lang w:val="en-US" w:eastAsia="zh-CN"/>
              </w:rPr>
              <w:t>15米</w:t>
            </w:r>
            <w:r>
              <w:rPr>
                <w:rFonts w:hint="default" w:ascii="Times New Roman" w:hAnsi="Times New Roman" w:eastAsia="宋体" w:cs="Times New Roman"/>
                <w:szCs w:val="22"/>
                <w:lang w:val="en-US" w:eastAsia="zh-CN"/>
              </w:rPr>
              <w:t>高排气筒排放</w:t>
            </w:r>
            <w:r>
              <w:rPr>
                <w:rFonts w:hint="eastAsia" w:ascii="Times New Roman" w:hAnsi="Times New Roman" w:eastAsia="宋体" w:cs="Times New Roman"/>
                <w:szCs w:val="22"/>
                <w:lang w:val="en-US" w:eastAsia="zh-CN"/>
              </w:rPr>
              <w:t>；</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粉尘排放——</w:t>
            </w:r>
          </w:p>
          <w:p>
            <w:pPr>
              <w:spacing w:line="360" w:lineRule="auto"/>
              <w:ind w:firstLine="420" w:firstLineChars="200"/>
            </w:pPr>
            <w:r>
              <w:rPr>
                <w:rFonts w:hint="eastAsia" w:ascii="Times New Roman" w:hAnsi="Times New Roman" w:eastAsia="宋体" w:cs="Times New Roman"/>
                <w:szCs w:val="22"/>
                <w:lang w:val="en-US" w:eastAsia="zh-CN"/>
              </w:rPr>
              <w:t>粉尘经设备自带的布袋除尘器处理后于车间无组织排放，车间内少量废气经室内通风装置外排。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hint="eastAsia"/>
                <w:sz w:val="21"/>
                <w:szCs w:val="21"/>
              </w:rPr>
            </w:pPr>
            <w:r>
              <w:rPr>
                <w:rFonts w:hint="eastAsia"/>
                <w:sz w:val="21"/>
                <w:szCs w:val="21"/>
              </w:rPr>
              <w:t>了解受审核方文件、外来文件和环境、职业健康安全适用法律法规及其他要求控制情况；</w:t>
            </w:r>
          </w:p>
          <w:p>
            <w:pPr>
              <w:rPr>
                <w:rFonts w:hint="eastAsia"/>
                <w:sz w:val="21"/>
                <w:szCs w:val="21"/>
                <w:lang w:val="en-US" w:eastAsia="zh-CN"/>
              </w:rPr>
            </w:pPr>
            <w:r>
              <w:rPr>
                <w:rFonts w:hint="eastAsia"/>
                <w:sz w:val="21"/>
                <w:szCs w:val="21"/>
              </w:rPr>
              <w:t>合规性评价；</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体系文件包括：</w:t>
            </w:r>
          </w:p>
          <w:p>
            <w:pPr>
              <w:spacing w:line="360" w:lineRule="auto"/>
              <w:ind w:firstLine="420" w:firstLineChars="200"/>
              <w:rPr>
                <w:rFonts w:hint="eastAsia"/>
              </w:rPr>
            </w:pPr>
            <w:r>
              <w:rPr>
                <w:rFonts w:hint="eastAsia"/>
                <w:lang w:val="en-US" w:eastAsia="zh-CN"/>
              </w:rPr>
              <w:t>管理手册——A/0，</w:t>
            </w:r>
            <w:r>
              <w:rPr>
                <w:rFonts w:hint="eastAsia"/>
              </w:rPr>
              <w:t>2020年</w:t>
            </w:r>
            <w:r>
              <w:rPr>
                <w:rFonts w:hint="eastAsia"/>
                <w:lang w:val="en-US" w:eastAsia="zh-CN"/>
              </w:rPr>
              <w:t>12</w:t>
            </w:r>
            <w:r>
              <w:rPr>
                <w:rFonts w:hint="eastAsia"/>
              </w:rPr>
              <w:t>月</w:t>
            </w:r>
            <w:r>
              <w:rPr>
                <w:rFonts w:hint="eastAsia"/>
                <w:lang w:val="en-US" w:eastAsia="zh-CN"/>
              </w:rPr>
              <w:t>01</w:t>
            </w:r>
            <w:r>
              <w:rPr>
                <w:rFonts w:hint="eastAsia"/>
              </w:rPr>
              <w:t>日</w:t>
            </w:r>
          </w:p>
          <w:p>
            <w:pPr>
              <w:spacing w:line="360" w:lineRule="auto"/>
              <w:ind w:firstLine="420" w:firstLineChars="200"/>
              <w:rPr>
                <w:rFonts w:hint="eastAsia"/>
                <w:lang w:val="en-US" w:eastAsia="zh-CN"/>
              </w:rPr>
            </w:pPr>
            <w:r>
              <w:rPr>
                <w:rFonts w:hint="eastAsia"/>
                <w:lang w:val="en-US" w:eastAsia="zh-CN"/>
              </w:rPr>
              <w:t>程序文件——环</w:t>
            </w:r>
            <w:r>
              <w:rPr>
                <w:rFonts w:hint="eastAsia"/>
                <w:color w:val="auto"/>
                <w:lang w:val="en-US" w:eastAsia="zh-CN"/>
              </w:rPr>
              <w:t>境因素识别与评价程序、法律法规和其他要求控制程序、风险和机遇的应对控制程序、顾客满意度控制程序、采购控制程序、生产和服务管理控制程序、产品检验和试验控制程序、应急准备和响应控制程序、监视和测量控制程序、不合格品控制程序、事故、事件控制程序等24个；</w:t>
            </w:r>
          </w:p>
          <w:p>
            <w:pPr>
              <w:spacing w:line="360" w:lineRule="auto"/>
              <w:ind w:firstLine="420" w:firstLineChars="200"/>
              <w:rPr>
                <w:rFonts w:hint="default"/>
                <w:szCs w:val="22"/>
                <w:lang w:val="en-US" w:eastAsia="zh-CN"/>
              </w:rPr>
            </w:pPr>
            <w:r>
              <w:rPr>
                <w:rFonts w:hint="eastAsia"/>
                <w:szCs w:val="22"/>
                <w:lang w:val="en-US" w:eastAsia="zh-CN"/>
              </w:rPr>
              <w:t>管理文件——环境作业指导书、水电及安全管理制度、检测器具管理制度、设备的使用管理规定、设备保养维修制度、特种作业人员持证上岗制度、消防安全管理制度等；</w:t>
            </w:r>
          </w:p>
          <w:p>
            <w:pPr>
              <w:spacing w:line="360" w:lineRule="auto"/>
              <w:ind w:firstLine="420" w:firstLineChars="200"/>
              <w:rPr>
                <w:rFonts w:hint="default"/>
                <w:lang w:val="en-US" w:eastAsia="zh-CN"/>
              </w:rPr>
            </w:pPr>
            <w:r>
              <w:rPr>
                <w:rFonts w:hint="eastAsia"/>
                <w:lang w:val="en-US" w:eastAsia="zh-CN"/>
              </w:rPr>
              <w:t>建立有外来文件清单，收集相关标准和法律等13个；</w:t>
            </w:r>
          </w:p>
          <w:p>
            <w:pPr>
              <w:spacing w:line="360" w:lineRule="auto"/>
              <w:ind w:firstLine="420" w:firstLineChars="200"/>
              <w:rPr>
                <w:rFonts w:hint="eastAsia"/>
                <w:lang w:val="en-US" w:eastAsia="zh-CN"/>
              </w:rPr>
            </w:pPr>
            <w:r>
              <w:rPr>
                <w:rFonts w:hint="eastAsia"/>
                <w:lang w:val="en-US" w:eastAsia="zh-CN"/>
              </w:rPr>
              <w:t>建立环境法律法规和其他要求清单，收集中华人民共和国大气污染防治法、中华人民共和国固体废物污染环境防治法、中华人民共和国环境保护法、中华人民共和国环境噪声污染防治法、中华人民共和国水污染防治法等80余个。</w:t>
            </w:r>
          </w:p>
          <w:p>
            <w:pPr>
              <w:spacing w:line="360" w:lineRule="auto"/>
              <w:ind w:firstLine="420" w:firstLineChars="200"/>
              <w:rPr>
                <w:rFonts w:hint="eastAsia"/>
                <w:lang w:val="en-US" w:eastAsia="zh-CN"/>
              </w:rPr>
            </w:pPr>
            <w:r>
              <w:rPr>
                <w:rFonts w:hint="default"/>
                <w:lang w:val="en-US" w:eastAsia="zh-CN"/>
              </w:rPr>
              <w:t>2021年1月22日</w:t>
            </w:r>
            <w:r>
              <w:rPr>
                <w:rFonts w:hint="eastAsia"/>
                <w:lang w:val="en-US" w:eastAsia="zh-CN"/>
              </w:rPr>
              <w:t>进行合规性评价，保留有合规性评价记录和合规性评价报告。</w:t>
            </w:r>
          </w:p>
          <w:p>
            <w:pPr>
              <w:spacing w:line="360" w:lineRule="auto"/>
              <w:ind w:firstLine="420" w:firstLineChars="200"/>
            </w:pPr>
            <w:r>
              <w:rPr>
                <w:rFonts w:hint="eastAsia"/>
                <w:lang w:val="en-US" w:eastAsia="zh-CN"/>
              </w:rPr>
              <w:t>评价结论：公司对适用的法律、法规均已遵守。自公司建立管理体系以来，未发生任何破坏环境的现象及安全事故现象；未发生任何顾客、周边居民因环境事故而投诉的现象。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sz w:val="21"/>
                <w:szCs w:val="21"/>
              </w:rPr>
            </w:pPr>
            <w:r>
              <w:rPr>
                <w:rFonts w:hint="eastAsia"/>
                <w:sz w:val="21"/>
                <w:szCs w:val="21"/>
              </w:rPr>
              <w:t>了解受审核方是否策划和实施了内部审核；</w:t>
            </w:r>
          </w:p>
          <w:p>
            <w:pPr>
              <w:rPr>
                <w:rFonts w:hint="eastAsia"/>
                <w:sz w:val="21"/>
                <w:szCs w:val="21"/>
                <w:lang w:val="en-US" w:eastAsia="zh-CN"/>
              </w:rPr>
            </w:pPr>
            <w:r>
              <w:rPr>
                <w:rFonts w:hint="eastAsia"/>
                <w:sz w:val="21"/>
                <w:szCs w:val="21"/>
              </w:rPr>
              <w:t>了解管理评审控制情况；</w:t>
            </w:r>
          </w:p>
        </w:tc>
        <w:tc>
          <w:tcPr>
            <w:tcW w:w="960" w:type="dxa"/>
          </w:tcPr>
          <w:p/>
        </w:tc>
        <w:tc>
          <w:tcPr>
            <w:tcW w:w="10004" w:type="dxa"/>
          </w:tcPr>
          <w:p>
            <w:pPr>
              <w:spacing w:line="360" w:lineRule="auto"/>
              <w:ind w:firstLine="420" w:firstLineChars="200"/>
              <w:rPr>
                <w:rFonts w:hint="eastAsia"/>
                <w:lang w:val="en-US" w:eastAsia="zh-CN"/>
              </w:rPr>
            </w:pPr>
            <w:bookmarkStart w:id="0" w:name="_GoBack"/>
            <w:r>
              <w:rPr>
                <w:rFonts w:hint="eastAsia"/>
                <w:lang w:val="en-US" w:eastAsia="zh-CN"/>
              </w:rPr>
              <w:t>2021年3月18-19日，对各单位进行了内审，保留了内审计划、内审记录、不符合报告、内审报告；内审覆盖了管理体系范围内的活动及标准的要求；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本次内审开具不符合报告1份，已整改，有整改验收记录；</w:t>
            </w:r>
          </w:p>
          <w:p>
            <w:pPr>
              <w:spacing w:line="360" w:lineRule="auto"/>
              <w:ind w:firstLine="420" w:firstLineChars="200"/>
              <w:rPr>
                <w:rFonts w:hint="eastAsia"/>
                <w:lang w:val="en-US" w:eastAsia="zh-CN"/>
              </w:rPr>
            </w:pPr>
            <w:r>
              <w:rPr>
                <w:rFonts w:hint="eastAsia"/>
                <w:lang w:val="en-US" w:eastAsia="zh-CN"/>
              </w:rPr>
              <w:t>内审结论为：在管理体系运行的过程中，公司是符合标准、相关法律、法规要求，体系运行较适宜、充分，其运行是有较。</w:t>
            </w:r>
          </w:p>
          <w:p>
            <w:pPr>
              <w:spacing w:line="360" w:lineRule="auto"/>
              <w:ind w:firstLine="420" w:firstLineChars="200"/>
              <w:rPr>
                <w:rFonts w:hint="eastAsia"/>
                <w:lang w:val="en-US" w:eastAsia="zh-CN"/>
              </w:rPr>
            </w:pPr>
            <w:r>
              <w:rPr>
                <w:rFonts w:hint="eastAsia"/>
                <w:szCs w:val="22"/>
                <w:lang w:val="en-US" w:eastAsia="zh-CN"/>
              </w:rPr>
              <w:t>2021年3月29日在</w:t>
            </w:r>
            <w:r>
              <w:rPr>
                <w:rFonts w:hint="eastAsia"/>
                <w:lang w:val="en-US" w:eastAsia="zh-CN"/>
              </w:rPr>
              <w:t>公司会议室由</w:t>
            </w:r>
            <w:r>
              <w:rPr>
                <w:rFonts w:hint="eastAsia"/>
                <w:color w:val="auto"/>
                <w:highlight w:val="none"/>
                <w:lang w:val="en-US" w:eastAsia="zh-CN"/>
              </w:rPr>
              <w:t>黄瑞林</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保留管理评审计划、管理评审报告、管理评审会议纪要、签到表等；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管理评审结论：公司的管理体系的建立和运行是充分的、适宜的、有效的。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w:t>
            </w:r>
          </w:p>
          <w:p>
            <w:pPr>
              <w:spacing w:line="360" w:lineRule="auto"/>
              <w:ind w:firstLine="420" w:firstLineChars="200"/>
              <w:rPr>
                <w:rFonts w:hint="eastAsia"/>
                <w:lang w:val="en-US" w:eastAsia="zh-CN"/>
              </w:rPr>
            </w:pPr>
            <w:r>
              <w:rPr>
                <w:rFonts w:hint="eastAsia"/>
                <w:lang w:val="en-US" w:eastAsia="zh-CN"/>
              </w:rPr>
              <w:t>包括：节能降耗，减少生产车间和办公区域资源能源和办公器材消耗量，减排增效，确保环境卫生等2项内容；</w:t>
            </w:r>
          </w:p>
          <w:p>
            <w:pPr>
              <w:spacing w:line="360" w:lineRule="auto"/>
              <w:ind w:firstLine="420" w:firstLineChars="200"/>
              <w:rPr>
                <w:rFonts w:hint="default"/>
                <w:lang w:val="en-US"/>
              </w:rPr>
            </w:pPr>
            <w:r>
              <w:rPr>
                <w:rFonts w:hint="eastAsia" w:ascii="Times New Roman" w:hAnsi="Times New Roman" w:eastAsia="宋体" w:cs="Times New Roman"/>
                <w:szCs w:val="22"/>
                <w:lang w:val="en-US" w:eastAsia="zh-CN"/>
              </w:rPr>
              <w:t>保留有“管理评审改进措施计划”。</w:t>
            </w:r>
            <w:bookmarkEnd w:id="0"/>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特种设备</w:t>
            </w:r>
            <w:r>
              <w:rPr>
                <w:rFonts w:hint="eastAsia"/>
                <w:sz w:val="21"/>
                <w:szCs w:val="21"/>
                <w:lang w:val="en-US" w:eastAsia="zh-CN"/>
              </w:rPr>
              <w:t>、</w:t>
            </w:r>
            <w:r>
              <w:rPr>
                <w:rFonts w:hint="eastAsia"/>
                <w:sz w:val="21"/>
                <w:szCs w:val="21"/>
              </w:rPr>
              <w:t>环保、安全设施</w:t>
            </w:r>
            <w:r>
              <w:rPr>
                <w:rFonts w:hint="eastAsia"/>
                <w:sz w:val="21"/>
                <w:szCs w:val="21"/>
                <w:lang w:eastAsia="zh-CN"/>
              </w:rPr>
              <w:t>、</w:t>
            </w:r>
            <w:r>
              <w:rPr>
                <w:rFonts w:hint="eastAsia"/>
                <w:sz w:val="21"/>
                <w:szCs w:val="21"/>
              </w:rPr>
              <w:t>监测设备</w:t>
            </w:r>
          </w:p>
        </w:tc>
        <w:tc>
          <w:tcPr>
            <w:tcW w:w="960" w:type="dxa"/>
          </w:tcPr>
          <w:p/>
        </w:tc>
        <w:tc>
          <w:tcPr>
            <w:tcW w:w="10004" w:type="dxa"/>
          </w:tcPr>
          <w:p>
            <w:pPr>
              <w:pStyle w:val="3"/>
              <w:spacing w:line="360" w:lineRule="auto"/>
              <w:ind w:firstLine="420"/>
              <w:rPr>
                <w:rFonts w:hint="default"/>
                <w:lang w:val="en-US" w:eastAsia="zh-CN"/>
              </w:rPr>
            </w:pPr>
            <w:r>
              <w:rPr>
                <w:rFonts w:hint="eastAsia"/>
                <w:highlight w:val="none"/>
                <w:lang w:val="en-US" w:eastAsia="zh-CN"/>
              </w:rPr>
              <w:t>查检测装置台账列有计量装置，见有校准证书。</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eastAsia="宋体"/>
                <w:sz w:val="21"/>
                <w:szCs w:val="21"/>
                <w:lang w:val="en-US" w:eastAsia="zh-CN"/>
              </w:rPr>
            </w:pPr>
            <w:r>
              <w:rPr>
                <w:rFonts w:hint="eastAsia"/>
                <w:sz w:val="21"/>
                <w:szCs w:val="21"/>
                <w:highlight w:val="none"/>
                <w:lang w:val="en-US" w:eastAsia="zh-CN"/>
              </w:rPr>
              <w:t>现场观察</w:t>
            </w:r>
          </w:p>
        </w:tc>
        <w:tc>
          <w:tcPr>
            <w:tcW w:w="960" w:type="dxa"/>
          </w:tcPr>
          <w:p/>
        </w:tc>
        <w:tc>
          <w:tcPr>
            <w:tcW w:w="10004" w:type="dxa"/>
          </w:tcPr>
          <w:p>
            <w:pPr>
              <w:spacing w:line="360" w:lineRule="auto"/>
              <w:ind w:firstLine="420"/>
              <w:rPr>
                <w:rFonts w:hint="eastAsia"/>
                <w:szCs w:val="22"/>
                <w:highlight w:val="none"/>
                <w:lang w:val="en-US" w:eastAsia="zh-CN"/>
              </w:rPr>
            </w:pPr>
            <w:r>
              <w:rPr>
                <w:rFonts w:hint="eastAsia"/>
                <w:szCs w:val="22"/>
                <w:highlight w:val="none"/>
                <w:lang w:val="en-US" w:eastAsia="zh-CN"/>
              </w:rPr>
              <w:t>现场观察，目前车间有1条生产线在运行，设备运转情况良好、接地良好；各种标志、标线清晰，但是灰尘比较厚；对火灾应急设施、安防设施运行情况等进行了检查维护，灭火器有检查，现场查看状况良好；厂区分上下两层设置，上层配料和搅拌，搅拌后的预混料利用重力下投至挤出机，布置合理；设备定置、安全防护装置良好，确保作业人员不接触到高温部件和部位，保持安全间距，车间通道通畅，符合要求；照明能满足工作照度要求，温湿度满足生产要求；强制通风，布袋式除尘装置运行正常，收集生产过程中产生的粉尘，再次利用；循环水冷却塔和风冷机工作正常；有少量灰尘，无乱拉乱接电线；</w:t>
            </w:r>
          </w:p>
          <w:p>
            <w:pPr>
              <w:spacing w:line="360" w:lineRule="auto"/>
              <w:ind w:firstLine="420"/>
              <w:rPr>
                <w:rFonts w:hint="default"/>
                <w:szCs w:val="22"/>
                <w:highlight w:val="none"/>
                <w:lang w:val="en-US" w:eastAsia="zh-CN"/>
              </w:rPr>
            </w:pPr>
            <w:r>
              <w:rPr>
                <w:rFonts w:hint="eastAsia"/>
                <w:szCs w:val="22"/>
                <w:highlight w:val="none"/>
                <w:lang w:val="en-US" w:eastAsia="zh-CN"/>
              </w:rPr>
              <w:t>现场观察配料投料位粉尘浓度不高，作业人员穿工作服、带工</w:t>
            </w:r>
            <w:r>
              <w:rPr>
                <w:rFonts w:hint="eastAsia"/>
                <w:color w:val="auto"/>
                <w:szCs w:val="22"/>
                <w:highlight w:val="none"/>
                <w:lang w:val="en-US" w:eastAsia="zh-CN"/>
              </w:rPr>
              <w:t>作帽和KN95口罩，</w:t>
            </w:r>
            <w:r>
              <w:rPr>
                <w:rFonts w:hint="eastAsia"/>
                <w:szCs w:val="22"/>
                <w:highlight w:val="none"/>
                <w:lang w:val="en-US" w:eastAsia="zh-CN"/>
              </w:rPr>
              <w:t>个人防护到位，混料和挤出区域少量噪声和异味；</w:t>
            </w:r>
          </w:p>
          <w:p>
            <w:pPr>
              <w:spacing w:line="360" w:lineRule="auto"/>
              <w:ind w:firstLine="420"/>
              <w:rPr>
                <w:rFonts w:hint="default"/>
                <w:szCs w:val="22"/>
                <w:highlight w:val="none"/>
                <w:lang w:val="en-US" w:eastAsia="zh-CN"/>
              </w:rPr>
            </w:pPr>
            <w:r>
              <w:rPr>
                <w:rFonts w:hint="eastAsia"/>
                <w:szCs w:val="22"/>
                <w:highlight w:val="none"/>
                <w:lang w:val="en-US" w:eastAsia="zh-CN"/>
              </w:rPr>
              <w:t>实验室配置有检测设备；</w:t>
            </w:r>
          </w:p>
          <w:p>
            <w:pPr>
              <w:spacing w:line="360" w:lineRule="auto"/>
              <w:ind w:firstLine="420"/>
              <w:rPr>
                <w:rFonts w:hint="eastAsia"/>
                <w:szCs w:val="22"/>
                <w:lang w:val="en-US" w:eastAsia="zh-CN"/>
              </w:rPr>
            </w:pPr>
            <w:r>
              <w:rPr>
                <w:rFonts w:hint="eastAsia"/>
                <w:szCs w:val="22"/>
                <w:lang w:val="en-US" w:eastAsia="zh-CN"/>
              </w:rPr>
              <w:t>废水控制：公司生产不产生废水，生产用的冷却水循环使用，不外排；生活污水排入市政污水管网；</w:t>
            </w:r>
          </w:p>
          <w:p>
            <w:pPr>
              <w:spacing w:line="360" w:lineRule="auto"/>
              <w:ind w:firstLine="420"/>
              <w:rPr>
                <w:rFonts w:hint="eastAsia"/>
                <w:szCs w:val="22"/>
                <w:lang w:val="en-US" w:eastAsia="zh-CN"/>
              </w:rPr>
            </w:pPr>
            <w:r>
              <w:rPr>
                <w:rFonts w:hint="eastAsia"/>
                <w:szCs w:val="22"/>
                <w:lang w:val="en-US" w:eastAsia="zh-CN"/>
              </w:rPr>
              <w:t>噪声控制：生产设备在安装时就采取了减震处理，设备产生的噪音符合国标标准要求；</w:t>
            </w:r>
          </w:p>
          <w:p>
            <w:pPr>
              <w:spacing w:line="360" w:lineRule="auto"/>
              <w:ind w:firstLine="420"/>
              <w:rPr>
                <w:rFonts w:hint="eastAsia"/>
                <w:szCs w:val="22"/>
                <w:highlight w:val="none"/>
                <w:lang w:val="en-US" w:eastAsia="zh-CN"/>
              </w:rPr>
            </w:pPr>
            <w:r>
              <w:rPr>
                <w:rFonts w:hint="eastAsia"/>
                <w:szCs w:val="22"/>
                <w:highlight w:val="none"/>
                <w:lang w:val="en-US" w:eastAsia="zh-CN"/>
              </w:rPr>
              <w:t>目前公司生产过程产生的废气主要是混料搅拌粉尘、挤出废气，收集除尘后无组织排放；</w:t>
            </w:r>
          </w:p>
          <w:p>
            <w:pPr>
              <w:spacing w:line="360" w:lineRule="auto"/>
              <w:ind w:firstLine="420"/>
              <w:rPr>
                <w:rFonts w:hint="eastAsia"/>
                <w:szCs w:val="22"/>
                <w:lang w:val="en-US" w:eastAsia="zh-CN"/>
              </w:rPr>
            </w:pPr>
            <w:r>
              <w:rPr>
                <w:rFonts w:hint="eastAsia"/>
                <w:szCs w:val="22"/>
                <w:lang w:val="en-US" w:eastAsia="zh-CN"/>
              </w:rPr>
              <w:t>粉尘控制：在原料混料、搅拌时，会产生粉尘，控制措施是在混料、搅拌工序上方设置集气罩，粉尘经收集后接入布袋除尘处理装置，回收利用；</w:t>
            </w:r>
          </w:p>
          <w:p>
            <w:pPr>
              <w:spacing w:line="360" w:lineRule="auto"/>
              <w:ind w:firstLine="420" w:firstLineChars="200"/>
              <w:rPr>
                <w:rFonts w:hint="eastAsia"/>
                <w:szCs w:val="22"/>
                <w:lang w:val="en-US" w:eastAsia="zh-CN"/>
              </w:rPr>
            </w:pPr>
            <w:r>
              <w:rPr>
                <w:rFonts w:hint="eastAsia"/>
                <w:szCs w:val="22"/>
                <w:highlight w:val="none"/>
                <w:lang w:val="en-US" w:eastAsia="zh-CN"/>
              </w:rPr>
              <w:t>挤出废气：</w:t>
            </w:r>
            <w:r>
              <w:rPr>
                <w:rFonts w:hint="default" w:ascii="Times New Roman" w:hAnsi="Times New Roman" w:eastAsia="宋体" w:cs="Times New Roman"/>
                <w:szCs w:val="22"/>
                <w:lang w:val="en-US" w:eastAsia="zh-CN"/>
              </w:rPr>
              <w:t>熔融挤出工序产生的有机废气和臭气经集气罩收集后</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通过</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UⅤ光解+二级活性炭吸附</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装置+</w:t>
            </w:r>
            <w:r>
              <w:rPr>
                <w:rFonts w:hint="eastAsia" w:ascii="Times New Roman" w:hAnsi="Times New Roman" w:eastAsia="宋体" w:cs="Times New Roman"/>
                <w:szCs w:val="22"/>
                <w:lang w:val="en-US" w:eastAsia="zh-CN"/>
              </w:rPr>
              <w:t>15米</w:t>
            </w:r>
            <w:r>
              <w:rPr>
                <w:rFonts w:hint="default" w:ascii="Times New Roman" w:hAnsi="Times New Roman" w:eastAsia="宋体" w:cs="Times New Roman"/>
                <w:szCs w:val="22"/>
                <w:lang w:val="en-US" w:eastAsia="zh-CN"/>
              </w:rPr>
              <w:t>高排气筒排放</w:t>
            </w:r>
            <w:r>
              <w:rPr>
                <w:rFonts w:hint="eastAsia" w:ascii="Times New Roman" w:hAnsi="Times New Roman" w:eastAsia="宋体" w:cs="Times New Roman"/>
                <w:szCs w:val="22"/>
                <w:lang w:val="en-US" w:eastAsia="zh-CN"/>
              </w:rPr>
              <w:t>；</w:t>
            </w:r>
          </w:p>
          <w:p>
            <w:pPr>
              <w:spacing w:line="360" w:lineRule="auto"/>
              <w:ind w:firstLine="420"/>
              <w:rPr>
                <w:rFonts w:hint="eastAsia"/>
                <w:szCs w:val="22"/>
                <w:lang w:val="en-US" w:eastAsia="zh-CN"/>
              </w:rPr>
            </w:pPr>
            <w:r>
              <w:rPr>
                <w:rFonts w:hint="eastAsia"/>
                <w:szCs w:val="22"/>
                <w:lang w:val="en-US" w:eastAsia="zh-CN"/>
              </w:rPr>
              <w:t>固/危废控制：</w:t>
            </w:r>
          </w:p>
          <w:p>
            <w:pPr>
              <w:spacing w:line="360" w:lineRule="auto"/>
              <w:ind w:firstLine="420"/>
              <w:rPr>
                <w:rFonts w:hint="eastAsia"/>
                <w:szCs w:val="22"/>
                <w:lang w:val="en-US" w:eastAsia="zh-CN"/>
              </w:rPr>
            </w:pPr>
            <w:r>
              <w:rPr>
                <w:rFonts w:hint="eastAsia"/>
                <w:szCs w:val="22"/>
                <w:lang w:val="en-US" w:eastAsia="zh-CN"/>
              </w:rPr>
              <w:t>办公、垃圾交环卫部门处理，硒鼓墨盒交厂家回收；</w:t>
            </w:r>
          </w:p>
          <w:p>
            <w:pPr>
              <w:spacing w:line="360" w:lineRule="auto"/>
              <w:ind w:firstLine="420"/>
              <w:rPr>
                <w:rFonts w:hint="eastAsia"/>
                <w:szCs w:val="22"/>
                <w:lang w:val="en-US" w:eastAsia="zh-CN"/>
              </w:rPr>
            </w:pPr>
            <w:r>
              <w:rPr>
                <w:rFonts w:hint="eastAsia"/>
                <w:szCs w:val="22"/>
                <w:lang w:val="en-US" w:eastAsia="zh-CN"/>
              </w:rPr>
              <w:t>生产固废，收集后重复利用；生产过程中产生的包装废弃物等一般固废集中统一处理。</w:t>
            </w:r>
          </w:p>
          <w:p>
            <w:pPr>
              <w:spacing w:line="360" w:lineRule="auto"/>
              <w:ind w:firstLine="420"/>
              <w:rPr>
                <w:rFonts w:hint="default"/>
                <w:szCs w:val="22"/>
                <w:lang w:val="en-US" w:eastAsia="zh-CN"/>
              </w:rPr>
            </w:pPr>
            <w:r>
              <w:rPr>
                <w:rFonts w:hint="eastAsia"/>
                <w:szCs w:val="22"/>
                <w:lang w:val="en-US" w:eastAsia="zh-CN"/>
              </w:rPr>
              <w:t>废活性炭滤芯和废UV灯管为危险固体废物，委托有资质的单位处理，查见有签订的协议；</w:t>
            </w:r>
          </w:p>
          <w:p>
            <w:pPr>
              <w:spacing w:line="360" w:lineRule="auto"/>
              <w:ind w:firstLine="420"/>
              <w:rPr>
                <w:rFonts w:hint="eastAsia"/>
                <w:szCs w:val="22"/>
                <w:lang w:val="en-US" w:eastAsia="zh-CN"/>
              </w:rPr>
            </w:pPr>
            <w:r>
              <w:rPr>
                <w:rFonts w:hint="eastAsia"/>
                <w:szCs w:val="22"/>
                <w:lang w:val="en-US" w:eastAsia="zh-CN"/>
              </w:rPr>
              <w:t>能资源管理：人走灯灭，人走关水，能节约水电；</w:t>
            </w:r>
          </w:p>
          <w:p>
            <w:pPr>
              <w:ind w:firstLine="420"/>
              <w:rPr>
                <w:rFonts w:hint="default"/>
                <w:lang w:val="en-US" w:eastAsia="zh-CN"/>
              </w:rPr>
            </w:pPr>
            <w:r>
              <w:rPr>
                <w:rFonts w:hint="eastAsia" w:asciiTheme="minorEastAsia" w:hAnsiTheme="minorEastAsia" w:eastAsiaTheme="minorEastAsia" w:cstheme="minorEastAsia"/>
              </w:rPr>
              <w:t>火灾事故预防：公司配备有灭火器等消防设施，有</w:t>
            </w:r>
            <w:r>
              <w:rPr>
                <w:rFonts w:hint="eastAsia" w:asciiTheme="minorEastAsia" w:hAnsiTheme="minorEastAsia" w:eastAsiaTheme="minorEastAsia" w:cstheme="minorEastAsia"/>
                <w:lang w:val="en-US" w:eastAsia="zh-CN"/>
              </w:rPr>
              <w:t>检查维护</w:t>
            </w:r>
            <w:r>
              <w:rPr>
                <w:rFonts w:hint="eastAsia" w:asciiTheme="minorEastAsia" w:hAnsiTheme="minorEastAsia" w:eastAsiaTheme="minorEastAsia" w:cstheme="minorEastAsia"/>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rPr>
                <w:rFonts w:hint="eastAsia"/>
                <w:sz w:val="21"/>
                <w:szCs w:val="21"/>
              </w:rPr>
            </w:pPr>
            <w:r>
              <w:rPr>
                <w:rFonts w:hint="eastAsia"/>
                <w:sz w:val="21"/>
                <w:szCs w:val="21"/>
              </w:rPr>
              <w:t>必要时检查环境评价、安全评价、消防验收等情况.</w:t>
            </w:r>
          </w:p>
        </w:tc>
        <w:tc>
          <w:tcPr>
            <w:tcW w:w="960" w:type="dxa"/>
          </w:tcPr>
          <w:p/>
        </w:tc>
        <w:tc>
          <w:tcPr>
            <w:tcW w:w="10004" w:type="dxa"/>
          </w:tcPr>
          <w:p>
            <w:pPr>
              <w:rPr>
                <w:rFonts w:hint="eastAsia" w:eastAsia="宋体"/>
                <w:lang w:val="en-US" w:eastAsia="zh-CN"/>
              </w:rPr>
            </w:pPr>
            <w:r>
              <w:rPr>
                <w:rFonts w:hint="eastAsia"/>
                <w:lang w:val="en-US" w:eastAsia="zh-CN"/>
              </w:rPr>
              <w:t>/</w:t>
            </w:r>
          </w:p>
        </w:tc>
        <w:tc>
          <w:tcPr>
            <w:tcW w:w="1585"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经查验营业执照有效。信用平台查询，无不良信息。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自体系建立以来，未受到上级主管部门有关质量、环境问题的行政处罚。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暂时没有国家/地方抽查情况。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识别二阶段审核的资源配置情况和可行性</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有生产现场、领导层可以迎审、二阶段日期可接受、不存在影响二阶段审核的问题。</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二阶段审核所需资源满足要求。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22F3B"/>
    <w:rsid w:val="09E61CAA"/>
    <w:rsid w:val="3DD70D55"/>
    <w:rsid w:val="3E242AC4"/>
    <w:rsid w:val="406016F8"/>
    <w:rsid w:val="41CF07BE"/>
    <w:rsid w:val="47B540D0"/>
    <w:rsid w:val="510809D6"/>
    <w:rsid w:val="56BD6158"/>
    <w:rsid w:val="5A406DF9"/>
    <w:rsid w:val="6E021251"/>
    <w:rsid w:val="6F702B71"/>
    <w:rsid w:val="7365127C"/>
    <w:rsid w:val="7FDE2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pPr>
  </w:style>
  <w:style w:type="paragraph" w:styleId="4">
    <w:name w:val="Plain Text"/>
    <w:basedOn w:val="1"/>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2021-05-14T05:43:03Z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