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江西添瑞高分子新材料有限公司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Q：12.01.06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E：12.01.06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肖志良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Q：12.01.06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E：12.01.06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破碎—配料—混合—熔融挤出—切割—筛分—抽检—包装—入库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关键过程：配料</w:t>
            </w:r>
            <w:r>
              <w:rPr>
                <w:rFonts w:hint="eastAsia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、熔融挤出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按照配方要求，根据配料单配料后复核；或者通过系统设置参数后，系统自动控制；监测装置进行校准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重要环境因素：固（危）废、噪声排放、粉尘排放、潜在火灾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通用措施——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0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制定目标、指标，编制运行控制文件，运行控制；一旦发生按相关应急预案执行。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固（危）废——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0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一般固废集中收集外售；危废委托有资质单位回收；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噪声排放——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0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选用低噪声设备，合理布局，隔声减震，厂房隔音；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潜在火灾——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0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设备、电路定期检修、检查，人员持证上岗；配置消防器材、做好火灾预防措施；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粉尘/废气排放——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00" w:firstLineChars="100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配置环保设施（吸/除尘、废气吸附），达标排放。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highlight w:val="yellow"/>
              </w:rPr>
            </w:pPr>
            <w:r>
              <w:rPr>
                <w:rFonts w:hint="eastAsia"/>
                <w:b/>
                <w:sz w:val="20"/>
                <w:highlight w:val="none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 xml:space="preserve">聚苯乙烯(PS)片材混配料用母粒QB/T 4885-2015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塑料 粉状酚醛模塑料 第3部分：选定模塑料的要求 GB/T 1404.3-2008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QB/T 1648-1992聚乙烯着色母料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QB/T 2893-2007聚丙烯纤维用色母料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QB/T 2894-2007丙烯腈-丁二烯-苯乙烯（ABS）色母料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highlight w:val="none"/>
              </w:rPr>
              <w:t>检验和试验项目及要求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1、执行标准：聚乙烯着色母料、丙烯腈-丁二烯-苯乙烯（ABS）色母料</w:t>
            </w:r>
            <w:bookmarkStart w:id="6" w:name="_GoBack"/>
            <w:bookmarkEnd w:id="6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2、出厂检验项目：外观、水分、分散性、含水率、熔融指数和色差值等，部分特殊要求的色母粒或改性塑料还应检验阻燃效果、表面电阻率等。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3、型式试验项目：镉、汞、铅、锑等重金属的含量。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4、需要控制的是：挤出温度、喂料速度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66675</wp:posOffset>
            </wp:positionV>
            <wp:extent cx="719455" cy="414020"/>
            <wp:effectExtent l="0" t="0" r="4445" b="5080"/>
            <wp:wrapNone/>
            <wp:docPr id="1" name="图片 1" descr="肖志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肖志良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88265</wp:posOffset>
            </wp:positionV>
            <wp:extent cx="655955" cy="395605"/>
            <wp:effectExtent l="0" t="0" r="10795" b="4445"/>
            <wp:wrapNone/>
            <wp:docPr id="2" name="图片 5" descr="签名-褚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签名-褚敏杰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  <w:highlight w:val="none"/>
        </w:rPr>
        <w:t>填表人</w:t>
      </w:r>
      <w:r>
        <w:rPr>
          <w:rFonts w:ascii="宋体"/>
          <w:b/>
          <w:sz w:val="22"/>
          <w:szCs w:val="22"/>
          <w:highlight w:val="none"/>
        </w:rPr>
        <w:t>(</w:t>
      </w:r>
      <w:r>
        <w:rPr>
          <w:rFonts w:hint="eastAsia" w:ascii="宋体"/>
          <w:b/>
          <w:sz w:val="22"/>
          <w:szCs w:val="22"/>
          <w:highlight w:val="none"/>
        </w:rPr>
        <w:t>专业人员</w:t>
      </w:r>
      <w:r>
        <w:rPr>
          <w:rFonts w:ascii="宋体"/>
          <w:b/>
          <w:sz w:val="22"/>
          <w:szCs w:val="22"/>
          <w:highlight w:val="none"/>
        </w:rPr>
        <w:t>)</w:t>
      </w:r>
      <w:r>
        <w:rPr>
          <w:rFonts w:hint="eastAsia" w:ascii="宋体"/>
          <w:b/>
          <w:sz w:val="18"/>
          <w:szCs w:val="18"/>
          <w:highlight w:val="none"/>
        </w:rPr>
        <w:t xml:space="preserve">：          </w:t>
      </w:r>
      <w:r>
        <w:rPr>
          <w:rFonts w:hint="eastAsia" w:ascii="宋体"/>
          <w:b/>
          <w:sz w:val="18"/>
          <w:szCs w:val="18"/>
          <w:highlight w:val="none"/>
          <w:lang w:val="en-US" w:eastAsia="zh-CN"/>
        </w:rPr>
        <w:t xml:space="preserve">       </w:t>
      </w:r>
      <w:r>
        <w:rPr>
          <w:rFonts w:hint="eastAsia" w:ascii="宋体"/>
          <w:b/>
          <w:sz w:val="18"/>
          <w:szCs w:val="18"/>
          <w:highlight w:val="none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2021.5.9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36827AE"/>
    <w:rsid w:val="37F137B2"/>
    <w:rsid w:val="5B623F1B"/>
    <w:rsid w:val="5DA40A58"/>
    <w:rsid w:val="6DA06DDE"/>
    <w:rsid w:val="77257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9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2021-05-14T02:26:09Z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