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hint="eastAsia" w:ascii="楷体" w:hAnsi="楷体" w:eastAsia="楷体"/>
          <w:b/>
          <w:bCs w:val="0"/>
          <w:color w:val="000000" w:themeColor="text1"/>
          <w:sz w:val="24"/>
          <w:szCs w:val="24"/>
          <w:lang w:val="en-US" w:eastAsia="zh-CN"/>
        </w:rPr>
      </w:pPr>
      <w:r>
        <w:rPr>
          <w:rFonts w:hint="eastAsia" w:ascii="楷体" w:hAnsi="楷体" w:eastAsia="楷体"/>
          <w:b/>
          <w:bCs w:val="0"/>
          <w:color w:val="000000" w:themeColor="text1"/>
          <w:sz w:val="24"/>
          <w:szCs w:val="24"/>
          <w:lang w:val="en-US" w:eastAsia="zh-CN"/>
        </w:rPr>
        <w:t>编号：</w:t>
      </w:r>
      <w:bookmarkStart w:id="0" w:name="合同编号"/>
      <w:r>
        <w:rPr>
          <w:b/>
          <w:bCs w:val="0"/>
          <w:sz w:val="24"/>
          <w:szCs w:val="24"/>
        </w:rPr>
        <w:t>0393-2021-QEO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重庆国本特卫保安服务有限公司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w:t>
            </w:r>
          </w:p>
          <w:p>
            <w:pPr>
              <w:spacing w:line="240" w:lineRule="exact"/>
              <w:jc w:val="center"/>
              <w:rPr>
                <w:b/>
                <w:color w:val="000000" w:themeColor="text1"/>
                <w:sz w:val="20"/>
                <w:szCs w:val="20"/>
              </w:rPr>
            </w:pPr>
            <w:r>
              <w:rPr>
                <w:b/>
                <w:color w:val="000000" w:themeColor="text1"/>
                <w:sz w:val="20"/>
                <w:szCs w:val="20"/>
              </w:rPr>
              <w:t>E:29.10.07,35.12.00</w:t>
            </w:r>
          </w:p>
          <w:p>
            <w:pPr>
              <w:spacing w:line="240" w:lineRule="exact"/>
              <w:jc w:val="center"/>
              <w:rPr>
                <w:b/>
                <w:color w:val="000000" w:themeColor="text1"/>
                <w:sz w:val="20"/>
                <w:szCs w:val="20"/>
              </w:rPr>
            </w:pPr>
            <w:r>
              <w:rPr>
                <w:b/>
                <w:color w:val="000000" w:themeColor="text1"/>
                <w:sz w:val="20"/>
                <w:szCs w:val="20"/>
              </w:rPr>
              <w:t>O:29.10.07,35.12.00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w:t>
            </w:r>
          </w:p>
          <w:p>
            <w:pPr>
              <w:spacing w:line="240" w:lineRule="exact"/>
              <w:jc w:val="center"/>
              <w:rPr>
                <w:b/>
                <w:color w:val="000000" w:themeColor="text1"/>
                <w:sz w:val="20"/>
                <w:szCs w:val="20"/>
              </w:rPr>
            </w:pPr>
            <w:r>
              <w:rPr>
                <w:b/>
                <w:color w:val="000000" w:themeColor="text1"/>
                <w:sz w:val="20"/>
                <w:szCs w:val="20"/>
              </w:rPr>
              <w:t>E:29.10.07,35.12.00</w:t>
            </w:r>
          </w:p>
          <w:p>
            <w:pPr>
              <w:spacing w:line="240" w:lineRule="exact"/>
              <w:jc w:val="center"/>
              <w:rPr>
                <w:b/>
                <w:color w:val="000000" w:themeColor="text1"/>
                <w:sz w:val="20"/>
                <w:szCs w:val="20"/>
              </w:rPr>
            </w:pPr>
            <w:r>
              <w:rPr>
                <w:b/>
                <w:color w:val="000000" w:themeColor="text1"/>
                <w:sz w:val="20"/>
                <w:szCs w:val="20"/>
              </w:rPr>
              <w:t>O:29.10.07,35.12.00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w:t>
            </w:r>
          </w:p>
          <w:p>
            <w:pPr>
              <w:spacing w:line="240" w:lineRule="exact"/>
              <w:jc w:val="center"/>
              <w:rPr>
                <w:b/>
                <w:color w:val="000000" w:themeColor="text1"/>
                <w:sz w:val="20"/>
                <w:szCs w:val="20"/>
              </w:rPr>
            </w:pPr>
            <w:r>
              <w:rPr>
                <w:b/>
                <w:color w:val="000000" w:themeColor="text1"/>
                <w:sz w:val="20"/>
                <w:szCs w:val="20"/>
              </w:rPr>
              <w:t>E:29.10.07,35.12.00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叶明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重庆国本特卫保安服务有限公司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重庆市万州区石柱坪5号A幢2层/单元2-1号房</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404100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重庆市万州区重报万州中心7-307</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404100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涂腾飞</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15330327166</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彭伟</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彭伟</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ascii="楷体" w:hAnsi="楷体" w:eastAsia="楷体"/>
                <w:b/>
                <w:bCs/>
                <w:sz w:val="24"/>
                <w:szCs w:val="24"/>
                <w:u w:val="none"/>
                <w:lang w:eastAsia="zh-CN"/>
              </w:rPr>
              <w:t>沈克祥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Q：保安服务（限许可范围内），安防设备的销售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E：保安服务（限许可范围内），安防设备的销售所涉及场所的相关环境管理活动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O：保安服务（限许可范围内），安防设备的销售所涉及场所的相关职业健康安全管理活动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Q：29.10.07;35.12.00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E：29.10.07;35.12.00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O：29.10.07;35.12.00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行政人事部（含财务）</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安保部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eastAsia="宋体" w:cs="Times New Roman"/>
                <w:b/>
                <w:color w:val="000000" w:themeColor="text1"/>
                <w:kern w:val="2"/>
                <w:sz w:val="20"/>
                <w:szCs w:val="20"/>
                <w:lang w:val="en-US" w:eastAsia="zh-CN" w:bidi="ar-SA"/>
              </w:rPr>
              <w:t>市场部</w:t>
            </w:r>
          </w:p>
        </w:tc>
        <w:tc>
          <w:tcPr>
            <w:tcW w:w="6804" w:type="dxa"/>
            <w:vAlign w:val="top"/>
          </w:tcPr>
          <w:p>
            <w:pPr>
              <w:jc w:val="left"/>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不合格品控制；合同管理；采购管理；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r>
              <w:rPr>
                <w:rFonts w:hint="eastAsia"/>
                <w:color w:val="000000"/>
              </w:rPr>
              <w:t>中国人民财产保险股份有限公司万州五桥支公司</w:t>
            </w:r>
            <w:r>
              <w:rPr>
                <w:rFonts w:hint="eastAsia"/>
                <w:color w:val="000000"/>
                <w:lang w:val="en-US" w:eastAsia="zh-CN"/>
              </w:rPr>
              <w:t>安保服务项目</w:t>
            </w:r>
          </w:p>
        </w:tc>
        <w:tc>
          <w:tcPr>
            <w:tcW w:w="3249" w:type="dxa"/>
          </w:tcPr>
          <w:p>
            <w:pPr>
              <w:jc w:val="center"/>
              <w:rPr>
                <w:rFonts w:hint="default" w:ascii="宋体" w:hAnsi="宋体"/>
                <w:b/>
                <w:color w:val="000000" w:themeColor="text1"/>
                <w:spacing w:val="-20"/>
                <w:sz w:val="20"/>
                <w:szCs w:val="20"/>
                <w:u w:val="single"/>
                <w:lang w:val="en-US"/>
              </w:rPr>
            </w:pPr>
            <w:r>
              <w:rPr>
                <w:rFonts w:hint="eastAsia" w:ascii="宋体" w:hAnsi="宋体"/>
                <w:b w:val="0"/>
                <w:bCs/>
                <w:color w:val="000000" w:themeColor="text1"/>
                <w:spacing w:val="-20"/>
                <w:sz w:val="20"/>
                <w:szCs w:val="20"/>
                <w:u w:val="none"/>
                <w:lang w:val="en-US" w:eastAsia="zh-CN"/>
              </w:rPr>
              <w:t>安保服务</w:t>
            </w:r>
          </w:p>
        </w:tc>
        <w:tc>
          <w:tcPr>
            <w:tcW w:w="3555" w:type="dxa"/>
          </w:tcPr>
          <w:p>
            <w:pPr>
              <w:jc w:val="center"/>
              <w:rPr>
                <w:rFonts w:ascii="宋体" w:hAnsi="宋体"/>
                <w:b/>
                <w:color w:val="000000" w:themeColor="text1"/>
                <w:spacing w:val="-20"/>
                <w:sz w:val="20"/>
                <w:szCs w:val="20"/>
                <w:u w:val="single"/>
              </w:rPr>
            </w:pPr>
            <w:r>
              <w:rPr>
                <w:rFonts w:hint="eastAsia"/>
                <w:color w:val="000000"/>
              </w:rPr>
              <w:t>万州区五桥百安坝宁波路323号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sz w:val="20"/>
              </w:rPr>
              <w:t>保安服务（限许可范围内），安防设备的销售</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b/>
                <w:sz w:val="20"/>
                <w:szCs w:val="20"/>
              </w:rPr>
              <w:t>服务</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spacing w:line="400" w:lineRule="exact"/>
              <w:rPr>
                <w:rFonts w:hint="eastAsia"/>
                <w:highlight w:val="none"/>
                <w:lang w:val="en-US" w:eastAsia="zh-CN"/>
              </w:rPr>
            </w:pPr>
            <w:r>
              <w:rPr>
                <w:rFonts w:hint="eastAsia"/>
                <w:highlight w:val="none"/>
                <w:lang w:val="en-US" w:eastAsia="zh-CN"/>
              </w:rPr>
              <w:t>《保安服务管理条例》、合同协议等</w:t>
            </w:r>
          </w:p>
          <w:p>
            <w:pPr>
              <w:rPr>
                <w:rFonts w:ascii="Times New Roman" w:hAnsi="Times New Roman" w:eastAsia="宋体" w:cs="Times New Roman"/>
                <w:b/>
                <w:color w:val="000000" w:themeColor="text1"/>
                <w:kern w:val="2"/>
                <w:sz w:val="20"/>
                <w:szCs w:val="20"/>
                <w:lang w:val="en-US" w:eastAsia="zh-CN" w:bidi="ar-SA"/>
              </w:rPr>
            </w:pPr>
            <w:r>
              <w:rPr>
                <w:rFonts w:hint="eastAsia" w:ascii="Times New Roman" w:hAnsi="Times New Roman" w:eastAsia="宋体" w:cs="Times New Roman"/>
                <w:b/>
                <w:color w:val="000000" w:themeColor="text1"/>
                <w:kern w:val="2"/>
                <w:sz w:val="20"/>
                <w:szCs w:val="20"/>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31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spacing w:line="0" w:lineRule="atLeast"/>
              <w:ind w:firstLine="420" w:firstLineChars="200"/>
              <w:jc w:val="left"/>
              <w:rPr>
                <w:rFonts w:ascii="宋体" w:hAnsi="宋体" w:eastAsia="宋体" w:cs="Times New Roman"/>
                <w:b/>
                <w:kern w:val="2"/>
                <w:sz w:val="21"/>
                <w:szCs w:val="21"/>
                <w:lang w:val="en-US" w:eastAsia="zh-CN" w:bidi="ar-SA"/>
              </w:rPr>
            </w:pPr>
            <w:r>
              <w:rPr>
                <w:rFonts w:hint="eastAsia" w:ascii="宋体" w:hAnsi="宋体" w:cs="宋体"/>
                <w:kern w:val="0"/>
                <w:sz w:val="21"/>
                <w:szCs w:val="21"/>
                <w:lang w:val="zh-CN"/>
              </w:rPr>
              <w:t>重庆国本特卫保安服务有限公司，</w:t>
            </w:r>
            <w:r>
              <w:rPr>
                <w:rFonts w:hint="eastAsia"/>
                <w:sz w:val="21"/>
                <w:szCs w:val="21"/>
              </w:rPr>
              <w:t>成立于20</w:t>
            </w:r>
            <w:r>
              <w:rPr>
                <w:rFonts w:hint="eastAsia"/>
                <w:sz w:val="21"/>
                <w:szCs w:val="21"/>
                <w:lang w:val="en-US" w:eastAsia="zh-CN"/>
              </w:rPr>
              <w:t>2</w:t>
            </w:r>
            <w:r>
              <w:rPr>
                <w:rFonts w:hint="eastAsia"/>
                <w:sz w:val="21"/>
                <w:szCs w:val="21"/>
              </w:rPr>
              <w:t>0年，注册资金</w:t>
            </w:r>
            <w:r>
              <w:rPr>
                <w:rFonts w:hint="eastAsia"/>
                <w:sz w:val="21"/>
                <w:szCs w:val="21"/>
                <w:lang w:val="en-US" w:eastAsia="zh-CN"/>
              </w:rPr>
              <w:t>壹</w:t>
            </w:r>
            <w:r>
              <w:rPr>
                <w:rFonts w:hint="eastAsia"/>
                <w:sz w:val="21"/>
                <w:szCs w:val="21"/>
              </w:rPr>
              <w:t>仟万元。公司致力于专业化的</w:t>
            </w:r>
            <w:r>
              <w:rPr>
                <w:rFonts w:hint="eastAsia"/>
                <w:sz w:val="21"/>
                <w:szCs w:val="21"/>
                <w:lang w:val="en-US" w:eastAsia="zh-CN"/>
              </w:rPr>
              <w:t>门卫、巡逻、守护、随身护卫、安全检查</w:t>
            </w:r>
            <w:r>
              <w:rPr>
                <w:rFonts w:hint="eastAsia" w:eastAsia="宋体" w:cs="Times New Roman"/>
                <w:sz w:val="21"/>
                <w:szCs w:val="21"/>
                <w:lang w:val="en-US" w:eastAsia="zh-CN"/>
              </w:rPr>
              <w:t>及安防设备销售等</w:t>
            </w:r>
            <w:r>
              <w:rPr>
                <w:rFonts w:hint="eastAsia"/>
                <w:sz w:val="21"/>
                <w:szCs w:val="21"/>
              </w:rPr>
              <w:t>服务</w:t>
            </w:r>
            <w:r>
              <w:rPr>
                <w:rFonts w:hint="eastAsia" w:asciiTheme="minorEastAsia" w:hAnsiTheme="minorEastAsia" w:eastAsiaTheme="minorEastAsia" w:cstheme="minorEastAsia"/>
                <w:sz w:val="21"/>
                <w:szCs w:val="21"/>
                <w:highlight w:val="none"/>
              </w:rPr>
              <w:t>。现有员工</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人，目前经营情况良好</w:t>
            </w:r>
            <w:r>
              <w:rPr>
                <w:rFonts w:hint="eastAsia" w:ascii="宋体" w:hAnsi="宋体"/>
                <w:szCs w:val="21"/>
              </w:rPr>
              <w:t>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rPr>
                <w:rFonts w:ascii="宋体" w:hAnsi="宋体" w:eastAsia="宋体" w:cs="Times New Roman"/>
                <w:b/>
                <w:kern w:val="2"/>
                <w:sz w:val="21"/>
                <w:szCs w:val="21"/>
                <w:lang w:val="en-US" w:eastAsia="zh-CN" w:bidi="ar-SA"/>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360" w:lineRule="auto"/>
              <w:jc w:val="both"/>
              <w:rPr>
                <w:rFonts w:ascii="宋体" w:hAnsi="宋体" w:eastAsia="宋体" w:cs="Times New Roman"/>
                <w:b/>
                <w:kern w:val="2"/>
                <w:sz w:val="21"/>
                <w:szCs w:val="21"/>
                <w:lang w:val="en-US" w:eastAsia="zh-CN" w:bidi="ar-SA"/>
              </w:rPr>
            </w:pPr>
            <w:r>
              <w:rPr>
                <w:rFonts w:hint="eastAsia"/>
                <w:b w:val="0"/>
                <w:bCs w:val="0"/>
                <w:sz w:val="21"/>
                <w:szCs w:val="21"/>
                <w:lang w:eastAsia="zh-CN"/>
              </w:rPr>
              <w:t>“</w:t>
            </w:r>
            <w:r>
              <w:rPr>
                <w:rFonts w:hint="eastAsia" w:eastAsia="宋体" w:cs="Times New Roman"/>
                <w:sz w:val="21"/>
                <w:szCs w:val="21"/>
                <w:lang w:val="en-US" w:eastAsia="zh-CN"/>
              </w:rPr>
              <w:t>预防为主</w:t>
            </w:r>
            <w:r>
              <w:rPr>
                <w:rFonts w:hint="eastAsia" w:eastAsia="宋体" w:cs="Times New Roman"/>
                <w:sz w:val="21"/>
                <w:szCs w:val="21"/>
              </w:rPr>
              <w:t>、</w:t>
            </w:r>
            <w:r>
              <w:rPr>
                <w:rFonts w:hint="eastAsia" w:eastAsia="宋体" w:cs="Times New Roman"/>
                <w:sz w:val="21"/>
                <w:szCs w:val="21"/>
                <w:lang w:val="en-US" w:eastAsia="zh-CN"/>
              </w:rPr>
              <w:t>防消结合；友善威严、优质服务；</w:t>
            </w:r>
            <w:r>
              <w:rPr>
                <w:rFonts w:hint="eastAsia" w:eastAsia="宋体" w:cs="Times New Roman"/>
                <w:sz w:val="21"/>
                <w:szCs w:val="21"/>
              </w:rPr>
              <w:t>遵纪守法、减少污染</w:t>
            </w:r>
            <w:r>
              <w:rPr>
                <w:rFonts w:hint="eastAsia" w:eastAsia="宋体" w:cs="Times New Roman"/>
                <w:sz w:val="21"/>
                <w:szCs w:val="21"/>
                <w:lang w:val="en-US" w:eastAsia="zh-CN"/>
              </w:rPr>
              <w:t>；</w:t>
            </w:r>
            <w:r>
              <w:rPr>
                <w:rFonts w:hint="eastAsia" w:eastAsia="宋体" w:cs="Times New Roman"/>
                <w:sz w:val="21"/>
                <w:szCs w:val="21"/>
              </w:rPr>
              <w:t>安全经营、和谐社会</w:t>
            </w:r>
            <w:r>
              <w:rPr>
                <w:rFonts w:hint="eastAsia" w:ascii="宋体" w:hAnsi="宋体" w:eastAsia="宋体" w:cs="Times New Roman"/>
                <w:b w:val="0"/>
                <w:bCs w:val="0"/>
                <w:sz w:val="21"/>
                <w:szCs w:val="21"/>
              </w:rPr>
              <w:t xml:space="preserve"> </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eastAsia="宋体" w:cs="Times New Roman"/>
                <w:b/>
                <w:kern w:val="2"/>
                <w:sz w:val="21"/>
                <w:szCs w:val="21"/>
                <w:lang w:val="en-US" w:eastAsia="zh-CN" w:bidi="ar-SA"/>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auto"/>
                <w:sz w:val="21"/>
                <w:szCs w:val="21"/>
              </w:rPr>
              <w:t>合同评审、服务管理过程</w:t>
            </w:r>
            <w:r>
              <w:rPr>
                <w:rFonts w:hint="eastAsia" w:ascii="宋体" w:hAnsi="宋体"/>
                <w:b/>
                <w:color w:val="000000" w:themeColor="text1"/>
                <w:sz w:val="20"/>
                <w:szCs w:val="20"/>
              </w:rPr>
              <w:t>。</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eastAsia="宋体" w:cs="Times New Roman"/>
                <w:b/>
                <w:color w:val="auto"/>
                <w:sz w:val="21"/>
                <w:szCs w:val="21"/>
              </w:rPr>
              <w:t>服务过程。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w:t>
            </w:r>
          </w:p>
          <w:p>
            <w:pPr>
              <w:tabs>
                <w:tab w:val="left" w:pos="540"/>
              </w:tabs>
              <w:spacing w:line="300" w:lineRule="exact"/>
              <w:ind w:left="211" w:leftChars="0" w:hanging="211" w:hangingChars="100"/>
              <w:rPr>
                <w:rFonts w:hint="default" w:ascii="宋体" w:hAnsi="宋体" w:eastAsia="宋体" w:cs="Times New Roman"/>
                <w:b/>
                <w:kern w:val="2"/>
                <w:sz w:val="21"/>
                <w:szCs w:val="21"/>
                <w:lang w:val="en-US" w:eastAsia="zh-CN" w:bidi="ar-SA"/>
              </w:rPr>
            </w:pPr>
            <w:r>
              <w:rPr>
                <w:rFonts w:ascii="宋体" w:hAnsi="宋体"/>
                <w:b/>
                <w:szCs w:val="21"/>
              </w:rPr>
              <w:pict>
                <v:shape id="_x0000_s2050" o:spid="_x0000_s2050"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ascii="宋体" w:hAnsi="宋体" w:cs="Arial Unicode MS"/>
                <w:sz w:val="21"/>
                <w:szCs w:val="21"/>
                <w:u w:val="single"/>
              </w:rPr>
              <w:t>由于公司服务依据相关国家标准、行业标准、技术规范和顾客要求进行服务提供，不存在设计和开发过程，因此标准“8.3产品和服务的设计和开发”不适用，该不适用不影响公司提供满足顾客要求和适用法律法规要求的服务的能力或责任。</w:t>
            </w:r>
            <w:r>
              <w:rPr>
                <w:rFonts w:hint="eastAsia" w:ascii="宋体" w:hAnsi="宋体"/>
                <w:b/>
                <w:szCs w:val="21"/>
                <w:u w:val="single"/>
                <w:lang w:val="en-US" w:eastAsia="zh-CN"/>
              </w:rPr>
              <w:t xml:space="preserve"> </w:t>
            </w:r>
            <w:r>
              <w:rPr>
                <w:rFonts w:hint="eastAsia" w:ascii="宋体" w:hAnsi="宋体"/>
                <w:b/>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w:t>
            </w:r>
            <w:r>
              <w:rPr>
                <w:rFonts w:ascii="宋体" w:hAnsi="宋体"/>
                <w:b/>
                <w:szCs w:val="21"/>
              </w:rPr>
              <w:t>EMS</w:t>
            </w:r>
            <w:r>
              <w:rPr>
                <w:rFonts w:hint="eastAsia" w:ascii="宋体" w:hAnsi="宋体"/>
                <w:b/>
                <w:szCs w:val="21"/>
              </w:rPr>
              <w:t>环境因素</w:t>
            </w:r>
          </w:p>
          <w:p>
            <w:pPr>
              <w:spacing w:line="300" w:lineRule="exact"/>
              <w:rPr>
                <w:rFonts w:ascii="宋体" w:hAnsi="宋体"/>
                <w:b/>
                <w:szCs w:val="21"/>
              </w:rPr>
            </w:pPr>
            <w:r>
              <w:rPr>
                <w:rFonts w:hint="eastAsia" w:ascii="宋体" w:hAnsi="宋体"/>
                <w:b/>
                <w:szCs w:val="21"/>
              </w:rPr>
              <w:t>（环境因素辨识是否充分、重要环境因素评价合理性，以及环境因素动态变更的及时性等）</w:t>
            </w:r>
          </w:p>
          <w:p>
            <w:pPr>
              <w:spacing w:line="240" w:lineRule="exact"/>
              <w:ind w:firstLine="210" w:firstLineChars="100"/>
              <w:rPr>
                <w:rFonts w:ascii="宋体" w:hAnsi="宋体" w:cs="Times New Roman" w:eastAsiaTheme="minorEastAsia"/>
                <w:b/>
                <w:kern w:val="2"/>
                <w:sz w:val="21"/>
                <w:szCs w:val="21"/>
                <w:lang w:val="en-US" w:eastAsia="zh-CN" w:bidi="ar-SA"/>
              </w:rPr>
            </w:pPr>
            <w:r>
              <w:rPr>
                <w:rFonts w:hint="eastAsia" w:ascii="宋体" w:hAnsi="宋体" w:cs="宋体"/>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eastAsia="宋体" w:cs="Times New Roman"/>
                <w:szCs w:val="21"/>
                <w:lang w:val="en-US" w:eastAsia="zh-CN"/>
              </w:rPr>
              <w:t>1）</w:t>
            </w:r>
            <w:r>
              <w:rPr>
                <w:rFonts w:hint="eastAsia" w:ascii="宋体" w:hAnsi="宋体" w:eastAsia="宋体" w:cs="Times New Roman"/>
                <w:szCs w:val="21"/>
              </w:rPr>
              <w:t>潜在火灾事故发生</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固体废弃物排放</w:t>
            </w:r>
            <w:r>
              <w:rPr>
                <w:rFonts w:hint="eastAsia" w:ascii="宋体" w:hAnsi="宋体" w:cs="宋体"/>
                <w:bCs/>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7. </w:t>
            </w:r>
            <w:r>
              <w:rPr>
                <w:rFonts w:hint="eastAsia" w:ascii="宋体" w:hAnsi="宋体"/>
                <w:b/>
                <w:szCs w:val="21"/>
              </w:rPr>
              <w:t>■</w:t>
            </w:r>
            <w:r>
              <w:rPr>
                <w:rFonts w:ascii="宋体" w:hAnsi="宋体"/>
                <w:b/>
                <w:szCs w:val="21"/>
              </w:rPr>
              <w:t>OHSMS</w:t>
            </w:r>
            <w:r>
              <w:rPr>
                <w:rFonts w:hint="eastAsia" w:ascii="宋体" w:hAnsi="宋体"/>
                <w:b/>
                <w:szCs w:val="21"/>
              </w:rPr>
              <w:t>职业健康安全危险源</w:t>
            </w:r>
          </w:p>
          <w:p>
            <w:pPr>
              <w:spacing w:line="240" w:lineRule="exact"/>
              <w:rPr>
                <w:rFonts w:ascii="宋体" w:hAnsi="宋体"/>
                <w:b/>
                <w:szCs w:val="21"/>
              </w:rPr>
            </w:pPr>
            <w:r>
              <w:rPr>
                <w:rFonts w:hint="eastAsia" w:ascii="宋体" w:hAnsi="宋体"/>
                <w:b/>
                <w:szCs w:val="21"/>
              </w:rPr>
              <w:t>（职业健康安全危险源辨识是否充分、风险评价合理性，以及风险评价动态变更的及时性等）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themeColor="text1"/>
                <w:szCs w:val="21"/>
              </w:rPr>
              <w:t>组织建立了危险源识别、评价控制程序，识别评价了危险源、风险相关的过程，评价出了重要危险源，与之相关的过程有</w:t>
            </w:r>
            <w:r>
              <w:rPr>
                <w:rFonts w:hint="eastAsia" w:ascii="宋体" w:hAnsi="宋体" w:cs="宋体"/>
                <w:color w:val="000000" w:themeColor="text1"/>
                <w:szCs w:val="21"/>
                <w:lang w:val="en-US" w:eastAsia="zh-CN"/>
              </w:rPr>
              <w:t>采购</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销售</w:t>
            </w:r>
            <w:r>
              <w:rPr>
                <w:rFonts w:hint="eastAsia" w:ascii="宋体" w:hAnsi="宋体" w:cs="宋体"/>
                <w:color w:val="000000" w:themeColor="text1"/>
                <w:szCs w:val="21"/>
              </w:rPr>
              <w:t>、保安</w:t>
            </w:r>
            <w:r>
              <w:rPr>
                <w:rFonts w:hint="eastAsia" w:ascii="宋体" w:hAnsi="宋体" w:cs="宋体"/>
                <w:color w:val="000000" w:themeColor="text1"/>
                <w:szCs w:val="21"/>
                <w:lang w:val="en-US" w:eastAsia="zh-CN"/>
              </w:rPr>
              <w:t>服务</w:t>
            </w:r>
            <w:r>
              <w:rPr>
                <w:rFonts w:hint="eastAsia" w:ascii="宋体" w:hAnsi="宋体" w:cs="宋体"/>
                <w:color w:val="000000" w:themeColor="text1"/>
                <w:szCs w:val="21"/>
              </w:rPr>
              <w:t>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2"/>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p>
          <w:p>
            <w:pPr>
              <w:pStyle w:val="12"/>
              <w:spacing w:line="240" w:lineRule="auto"/>
              <w:ind w:firstLine="0" w:firstLineChars="0"/>
              <w:jc w:val="left"/>
              <w:rPr>
                <w:rFonts w:hint="eastAsia" w:ascii="宋体" w:hAnsi="宋体" w:eastAsia="宋体" w:cs="宋体"/>
                <w:b/>
                <w:color w:val="auto"/>
                <w:sz w:val="21"/>
                <w:szCs w:val="21"/>
              </w:rPr>
            </w:pPr>
            <w:r>
              <w:rPr>
                <w:rFonts w:hint="eastAsia" w:ascii="宋体" w:hAnsi="宋体" w:eastAsia="宋体" w:cs="宋体"/>
                <w:b w:val="0"/>
                <w:bCs w:val="0"/>
                <w:kern w:val="0"/>
                <w:sz w:val="21"/>
                <w:szCs w:val="21"/>
              </w:rPr>
              <w:t>质量</w:t>
            </w:r>
            <w:r>
              <w:rPr>
                <w:rFonts w:hint="eastAsia" w:ascii="宋体" w:hAnsi="宋体" w:eastAsia="宋体" w:cs="宋体"/>
                <w:b w:val="0"/>
                <w:bCs w:val="0"/>
                <w:color w:val="auto"/>
                <w:kern w:val="0"/>
                <w:sz w:val="21"/>
                <w:szCs w:val="21"/>
              </w:rPr>
              <w:t>目标：</w:t>
            </w:r>
            <w:r>
              <w:rPr>
                <w:rFonts w:hint="eastAsia" w:ascii="宋体" w:hAnsi="宋体" w:eastAsia="宋体" w:cs="宋体"/>
                <w:b/>
                <w:bCs/>
                <w:color w:val="auto"/>
                <w:kern w:val="0"/>
                <w:sz w:val="21"/>
                <w:szCs w:val="21"/>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 xml:space="preserve">  </w:t>
            </w:r>
          </w:p>
          <w:p>
            <w:pPr>
              <w:pStyle w:val="12"/>
              <w:numPr>
                <w:ilvl w:val="0"/>
                <w:numId w:val="0"/>
              </w:numPr>
              <w:spacing w:line="240" w:lineRule="auto"/>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1、出勤人员优质服务</w:t>
            </w:r>
            <w:r>
              <w:rPr>
                <w:rFonts w:hint="eastAsia" w:ascii="宋体" w:hAnsi="宋体" w:eastAsia="宋体" w:cs="宋体"/>
                <w:color w:val="auto"/>
                <w:kern w:val="0"/>
                <w:sz w:val="21"/>
                <w:szCs w:val="21"/>
              </w:rPr>
              <w:t>率≥9</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w:t>
            </w:r>
          </w:p>
          <w:p>
            <w:pPr>
              <w:pStyle w:val="12"/>
              <w:numPr>
                <w:ilvl w:val="0"/>
                <w:numId w:val="0"/>
              </w:numPr>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销售产品合格率为</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97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w:t>
            </w:r>
          </w:p>
          <w:p>
            <w:pPr>
              <w:pStyle w:val="12"/>
              <w:numPr>
                <w:ilvl w:val="0"/>
                <w:numId w:val="0"/>
              </w:numPr>
              <w:spacing w:line="240" w:lineRule="auto"/>
              <w:jc w:val="left"/>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3、</w:t>
            </w:r>
            <w:r>
              <w:rPr>
                <w:rFonts w:hint="eastAsia" w:ascii="宋体" w:hAnsi="宋体" w:cs="宋体"/>
                <w:color w:val="auto"/>
                <w:kern w:val="0"/>
                <w:sz w:val="21"/>
                <w:szCs w:val="21"/>
                <w:lang w:val="en-US" w:eastAsia="zh-CN"/>
              </w:rPr>
              <w:t>全年投诉率≤3%</w:t>
            </w:r>
            <w:r>
              <w:rPr>
                <w:rFonts w:hint="eastAsia" w:ascii="宋体" w:hAnsi="宋体" w:eastAsia="宋体" w:cs="宋体"/>
                <w:color w:val="auto"/>
                <w:sz w:val="21"/>
                <w:szCs w:val="21"/>
                <w:lang w:val="en-US" w:eastAsia="zh-CN"/>
              </w:rPr>
              <w:t>；</w:t>
            </w:r>
          </w:p>
          <w:p>
            <w:pPr>
              <w:pStyle w:val="12"/>
              <w:numPr>
                <w:ilvl w:val="0"/>
                <w:numId w:val="0"/>
              </w:numPr>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客户满意度9</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分以上</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 </w:t>
            </w:r>
          </w:p>
          <w:p>
            <w:pPr>
              <w:tabs>
                <w:tab w:val="left" w:pos="1134"/>
                <w:tab w:val="left" w:pos="1276"/>
              </w:tabs>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环境、职业健康安全目标： </w:t>
            </w:r>
          </w:p>
          <w:p>
            <w:pPr>
              <w:numPr>
                <w:ilvl w:val="0"/>
                <w:numId w:val="4"/>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火灾事故为0</w:t>
            </w:r>
            <w:r>
              <w:rPr>
                <w:rFonts w:hint="eastAsia" w:ascii="宋体" w:hAnsi="宋体" w:eastAsia="宋体" w:cs="宋体"/>
                <w:color w:val="auto"/>
                <w:sz w:val="21"/>
                <w:szCs w:val="21"/>
                <w:lang w:val="en-US" w:eastAsia="zh-CN"/>
              </w:rPr>
              <w:t>；</w:t>
            </w:r>
          </w:p>
          <w:p>
            <w:pPr>
              <w:numPr>
                <w:ilvl w:val="0"/>
                <w:numId w:val="4"/>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固体废弃物分类处置率100%</w:t>
            </w:r>
            <w:r>
              <w:rPr>
                <w:rFonts w:hint="eastAsia" w:ascii="宋体" w:hAnsi="宋体" w:eastAsia="宋体" w:cs="宋体"/>
                <w:color w:val="auto"/>
                <w:sz w:val="21"/>
                <w:szCs w:val="21"/>
                <w:lang w:val="en-US" w:eastAsia="zh-CN"/>
              </w:rPr>
              <w:t>；</w:t>
            </w:r>
          </w:p>
          <w:p>
            <w:pPr>
              <w:numPr>
                <w:ilvl w:val="0"/>
                <w:numId w:val="0"/>
              </w:numPr>
              <w:spacing w:line="240" w:lineRule="auto"/>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3、伤亡事故</w:t>
            </w:r>
            <w:r>
              <w:rPr>
                <w:rFonts w:hint="eastAsia" w:ascii="宋体" w:hAnsi="宋体" w:eastAsia="宋体" w:cs="宋体"/>
                <w:color w:val="auto"/>
                <w:sz w:val="21"/>
                <w:szCs w:val="21"/>
              </w:rPr>
              <w:t>为0</w:t>
            </w:r>
            <w:r>
              <w:rPr>
                <w:rFonts w:hint="eastAsia" w:ascii="宋体" w:hAnsi="宋体" w:eastAsia="宋体" w:cs="宋体"/>
                <w:color w:val="auto"/>
                <w:sz w:val="21"/>
                <w:szCs w:val="21"/>
                <w:lang w:val="en-US" w:eastAsia="zh-CN"/>
              </w:rPr>
              <w:t>；</w:t>
            </w:r>
          </w:p>
          <w:p>
            <w:pPr>
              <w:numPr>
                <w:ilvl w:val="0"/>
                <w:numId w:val="0"/>
              </w:numPr>
              <w:spacing w:line="240" w:lineRule="auto"/>
              <w:ind w:leftChars="0"/>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4、触电事故为0；</w:t>
            </w:r>
          </w:p>
          <w:p>
            <w:pPr>
              <w:numPr>
                <w:ilvl w:val="0"/>
                <w:numId w:val="0"/>
              </w:numPr>
              <w:spacing w:line="240" w:lineRule="auto"/>
              <w:ind w:leftChars="0"/>
              <w:rPr>
                <w:rFonts w:ascii="宋体" w:hAnsi="宋体" w:eastAsia="宋体" w:cs="Times New Roman"/>
                <w:b/>
                <w:kern w:val="2"/>
                <w:sz w:val="21"/>
                <w:szCs w:val="21"/>
                <w:lang w:val="en-US" w:eastAsia="zh-CN" w:bidi="ar-SA"/>
              </w:rPr>
            </w:pPr>
            <w:r>
              <w:rPr>
                <w:rFonts w:hint="eastAsia" w:ascii="宋体" w:hAnsi="宋体" w:eastAsia="宋体" w:cs="宋体"/>
                <w:color w:val="auto"/>
                <w:sz w:val="21"/>
                <w:szCs w:val="21"/>
                <w:lang w:val="en-US" w:eastAsia="zh-CN"/>
              </w:rPr>
              <w:t>5、重大交通事故为0。</w:t>
            </w:r>
            <w:r>
              <w:rPr>
                <w:rFonts w:hint="eastAsia" w:ascii="Times New Roman" w:hAnsi="Times New Roman" w:eastAsia="宋体" w:cs="Times New Roman"/>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公司编制了《文件、记录控制程序》并按照申请认证的标准要求，建立并形成了文件化的质量管理体系，体系文件对管理体系各过程进行了识别确定，明确了各要素间的相互关系及其管控要求。公司体系文件于20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eastAsia="宋体" w:cs="Times New Roman"/>
                <w:b/>
                <w:kern w:val="2"/>
                <w:sz w:val="21"/>
                <w:szCs w:val="21"/>
                <w:lang w:val="en-US" w:eastAsia="zh-CN" w:bidi="ar-SA"/>
              </w:rPr>
            </w:pPr>
            <w:r>
              <w:rPr>
                <w:rFonts w:hint="eastAsia" w:ascii="宋体" w:hAnsi="宋体" w:cs="宋体"/>
                <w:szCs w:val="21"/>
              </w:rPr>
              <w:t xml:space="preserve">    组织识别和维护运行中所需的知识，并适时更新，组织的知识可以保证其</w:t>
            </w:r>
            <w:r>
              <w:rPr>
                <w:rFonts w:hint="eastAsia" w:ascii="宋体" w:hAnsi="宋体" w:cs="宋体"/>
                <w:szCs w:val="21"/>
                <w:lang w:val="en-US" w:eastAsia="zh-CN"/>
              </w:rPr>
              <w:t>销售</w:t>
            </w:r>
            <w:r>
              <w:rPr>
                <w:rFonts w:hint="eastAsia" w:ascii="宋体" w:hAnsi="宋体" w:cs="宋体"/>
                <w:szCs w:val="21"/>
              </w:rPr>
              <w:t>合格产品和</w:t>
            </w:r>
            <w:r>
              <w:rPr>
                <w:rFonts w:hint="eastAsia" w:ascii="宋体" w:hAnsi="宋体" w:cs="宋体"/>
                <w:szCs w:val="21"/>
                <w:lang w:val="en-US" w:eastAsia="zh-CN"/>
              </w:rPr>
              <w:t>提供安保</w:t>
            </w:r>
            <w:r>
              <w:rPr>
                <w:rFonts w:hint="eastAsia" w:ascii="宋体" w:hAnsi="宋体" w:cs="宋体"/>
                <w:szCs w:val="21"/>
              </w:rPr>
              <w:t>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设备设施（包括信息系统）、</w:t>
            </w:r>
          </w:p>
          <w:p>
            <w:pPr>
              <w:spacing w:line="400" w:lineRule="exact"/>
              <w:ind w:firstLine="525" w:firstLineChars="250"/>
              <w:rPr>
                <w:rFonts w:ascii="宋体" w:hAnsi="宋体" w:eastAsia="宋体" w:cs="Times New Roman"/>
                <w:b/>
                <w:kern w:val="2"/>
                <w:sz w:val="21"/>
                <w:szCs w:val="21"/>
                <w:lang w:val="en-US" w:eastAsia="zh-CN" w:bidi="ar-SA"/>
              </w:rPr>
            </w:pPr>
            <w:r>
              <w:rPr>
                <w:rFonts w:hint="eastAsia" w:ascii="宋体" w:hAnsi="宋体" w:eastAsia="宋体" w:cs="宋体"/>
                <w:szCs w:val="21"/>
              </w:rPr>
              <w:t>办公面积</w:t>
            </w:r>
            <w:r>
              <w:rPr>
                <w:rFonts w:hint="eastAsia" w:ascii="宋体" w:hAnsi="宋体" w:cs="宋体"/>
                <w:szCs w:val="21"/>
                <w:lang w:val="en-US" w:eastAsia="zh-CN"/>
              </w:rPr>
              <w:t>5</w:t>
            </w:r>
            <w:r>
              <w:rPr>
                <w:rFonts w:hint="eastAsia" w:ascii="宋体" w:hAnsi="宋体" w:eastAsia="宋体" w:cs="宋体"/>
                <w:szCs w:val="21"/>
                <w:lang w:val="en-US" w:eastAsia="zh-CN"/>
              </w:rPr>
              <w:t>00</w:t>
            </w:r>
            <w:r>
              <w:rPr>
                <w:rFonts w:hint="eastAsia" w:ascii="宋体" w:hAnsi="宋体" w:eastAsia="宋体" w:cs="宋体"/>
                <w:szCs w:val="21"/>
              </w:rPr>
              <w:t>平方</w:t>
            </w:r>
            <w:r>
              <w:rPr>
                <w:rFonts w:hint="eastAsia" w:ascii="宋体" w:hAnsi="宋体" w:eastAsia="宋体" w:cs="宋体"/>
                <w:szCs w:val="21"/>
                <w:lang w:val="en-US" w:eastAsia="zh-CN"/>
              </w:rPr>
              <w:t>米</w:t>
            </w:r>
            <w:r>
              <w:rPr>
                <w:rFonts w:hint="eastAsia" w:ascii="宋体" w:hAnsi="宋体" w:eastAsia="宋体" w:cs="宋体"/>
                <w:szCs w:val="21"/>
              </w:rPr>
              <w:t>左右</w:t>
            </w:r>
            <w:r>
              <w:rPr>
                <w:rFonts w:hint="eastAsia" w:ascii="宋体" w:hAnsi="宋体" w:cs="宋体"/>
                <w:szCs w:val="21"/>
                <w:lang w:val="en-US" w:eastAsia="zh-CN"/>
              </w:rPr>
              <w:t>。</w:t>
            </w:r>
            <w:r>
              <w:rPr>
                <w:rFonts w:hint="eastAsia" w:ascii="宋体" w:hAnsi="宋体" w:cs="宋体"/>
                <w:szCs w:val="21"/>
              </w:rPr>
              <w:t>主要生产设备包括</w:t>
            </w:r>
            <w:r>
              <w:rPr>
                <w:rFonts w:hint="eastAsia" w:ascii="宋体" w:hAnsi="宋体" w:cs="宋体"/>
                <w:color w:val="000000"/>
                <w:szCs w:val="21"/>
              </w:rPr>
              <w:t>：</w:t>
            </w:r>
            <w:r>
              <w:rPr>
                <w:rFonts w:hint="eastAsia" w:ascii="宋体" w:hAnsi="宋体" w:cs="宋体"/>
                <w:szCs w:val="21"/>
                <w:highlight w:val="none"/>
              </w:rPr>
              <w:t>电脑、打印机、橡胶棒、手电筒、防爆棍/杈等</w:t>
            </w:r>
            <w:r>
              <w:rPr>
                <w:rStyle w:val="18"/>
                <w:rFonts w:hint="eastAsia" w:ascii="宋体" w:hAnsi="宋体"/>
                <w:color w:val="auto"/>
                <w:szCs w:val="21"/>
                <w:highlight w:val="none"/>
              </w:rPr>
              <w:t>。</w:t>
            </w:r>
            <w:r>
              <w:rPr>
                <w:rFonts w:hint="eastAsia" w:ascii="宋体" w:hAnsi="宋体" w:eastAsia="宋体" w:cs="宋体"/>
                <w:szCs w:val="21"/>
                <w:lang w:val="en-US" w:eastAsia="zh-CN"/>
              </w:rPr>
              <w:t>可以满足保安服务（限许可范围内），安防设备的销售需要。行政部对设备按月方式进行点检维护保养，并</w:t>
            </w:r>
            <w:r>
              <w:rPr>
                <w:rFonts w:hint="eastAsia" w:ascii="宋体" w:hAnsi="宋体" w:cs="宋体"/>
                <w:szCs w:val="21"/>
              </w:rPr>
              <w:t>实施</w:t>
            </w:r>
            <w:r>
              <w:rPr>
                <w:rFonts w:hint="eastAsia" w:ascii="宋体" w:hAnsi="宋体" w:cs="宋体"/>
                <w:color w:val="000000"/>
                <w:szCs w:val="21"/>
              </w:rPr>
              <w:t>。特种设备：</w:t>
            </w:r>
            <w:r>
              <w:rPr>
                <w:rFonts w:hint="eastAsia"/>
                <w:szCs w:val="21"/>
              </w:rPr>
              <w:t>无</w:t>
            </w:r>
            <w:r>
              <w:rPr>
                <w:rFonts w:hint="eastAsia" w:ascii="宋体" w:hAnsi="宋体"/>
                <w:szCs w:val="21"/>
              </w:rPr>
              <w:t>。</w:t>
            </w:r>
            <w:r>
              <w:rPr>
                <w:rFonts w:hint="eastAsia" w:ascii="宋体" w:hAnsi="宋体" w:cs="宋体"/>
                <w:color w:val="000000"/>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szCs w:val="21"/>
              </w:rPr>
              <w:t>办公区域内设备布置合理，照明设施齐全，均配备了灭火器、消防栓等设施。目前公司主要为客户提供</w:t>
            </w:r>
            <w:r>
              <w:rPr>
                <w:rFonts w:hint="eastAsia" w:ascii="宋体" w:hAnsi="宋体"/>
                <w:szCs w:val="21"/>
                <w:lang w:val="de-DE"/>
              </w:rPr>
              <w:t>物业管理服务</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监视和测量资源</w:t>
            </w:r>
          </w:p>
          <w:p>
            <w:pPr>
              <w:spacing w:line="240" w:lineRule="exact"/>
              <w:rPr>
                <w:rFonts w:ascii="宋体" w:hAnsi="宋体" w:eastAsia="宋体" w:cs="Times New Roman"/>
                <w:b/>
                <w:kern w:val="2"/>
                <w:sz w:val="21"/>
                <w:szCs w:val="21"/>
                <w:lang w:val="en-US" w:eastAsia="zh-CN" w:bidi="ar-SA"/>
              </w:rPr>
            </w:pPr>
            <w:r>
              <w:rPr>
                <w:rFonts w:hint="eastAsia"/>
                <w:szCs w:val="21"/>
                <w:lang w:val="en-US" w:eastAsia="zh-CN"/>
              </w:rPr>
              <w:t>安保服务质量</w:t>
            </w:r>
            <w:r>
              <w:rPr>
                <w:rFonts w:hint="eastAsia"/>
                <w:szCs w:val="21"/>
              </w:rPr>
              <w:t>采取人为检查、核对</w:t>
            </w:r>
            <w:r>
              <w:rPr>
                <w:rFonts w:hint="eastAsia"/>
                <w:szCs w:val="21"/>
                <w:highlight w:val="none"/>
              </w:rPr>
              <w:t>方式进行</w:t>
            </w:r>
            <w:r>
              <w:rPr>
                <w:rFonts w:hint="eastAsia" w:ascii="宋体" w:hAnsi="宋体" w:cs="宋体"/>
                <w:szCs w:val="21"/>
                <w:highlight w:val="none"/>
              </w:rPr>
              <w:t>。</w:t>
            </w:r>
            <w:r>
              <w:rPr>
                <w:rFonts w:hint="eastAsia" w:ascii="宋体" w:hAnsi="宋体" w:cs="宋体"/>
                <w:szCs w:val="21"/>
                <w:highlight w:val="none"/>
                <w:lang w:val="en-US" w:eastAsia="zh-CN"/>
              </w:rPr>
              <w:t>未</w:t>
            </w:r>
            <w:r>
              <w:rPr>
                <w:rFonts w:hint="eastAsia" w:ascii="Times New Roman" w:hAnsi="Times New Roman" w:eastAsia="宋体" w:cs="Times New Roman"/>
                <w:szCs w:val="21"/>
                <w:highlight w:val="none"/>
                <w:lang w:val="en-US" w:eastAsia="zh-CN"/>
              </w:rPr>
              <w:t>配置</w:t>
            </w:r>
            <w:r>
              <w:rPr>
                <w:rFonts w:hint="eastAsia" w:ascii="Times New Roman" w:hAnsi="Times New Roman" w:eastAsia="宋体" w:cs="Times New Roman"/>
                <w:szCs w:val="21"/>
                <w:highlight w:val="none"/>
              </w:rPr>
              <w:t>监视和测量</w:t>
            </w:r>
            <w:r>
              <w:rPr>
                <w:rFonts w:hint="eastAsia" w:ascii="Times New Roman" w:hAnsi="Times New Roman" w:eastAsia="宋体" w:cs="Times New Roman"/>
                <w:szCs w:val="21"/>
                <w:highlight w:val="none"/>
                <w:lang w:val="en-US" w:eastAsia="zh-CN"/>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kern w:val="2"/>
                <w:sz w:val="21"/>
                <w:szCs w:val="21"/>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eastAsia="宋体" w:cs="Times New Roman"/>
                <w:b/>
                <w:kern w:val="2"/>
                <w:sz w:val="21"/>
                <w:szCs w:val="21"/>
                <w:lang w:val="en-US" w:eastAsia="zh-CN" w:bidi="ar-SA"/>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pPr>
              <w:spacing w:line="240" w:lineRule="exact"/>
              <w:rPr>
                <w:rFonts w:ascii="宋体" w:hAnsi="宋体" w:eastAsia="宋体" w:cs="Times New Roman"/>
                <w:b/>
                <w:kern w:val="2"/>
                <w:sz w:val="21"/>
                <w:szCs w:val="21"/>
                <w:lang w:val="en-US" w:eastAsia="zh-CN" w:bidi="ar-SA"/>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eastAsia="宋体" w:cs="Times New Roman"/>
                <w:b/>
                <w:kern w:val="2"/>
                <w:sz w:val="21"/>
                <w:szCs w:val="21"/>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rPr>
              <w:t>组织重要环境因素为</w:t>
            </w:r>
            <w:r>
              <w:rPr>
                <w:rFonts w:hint="eastAsia" w:ascii="宋体" w:hAnsi="宋体"/>
                <w:szCs w:val="21"/>
              </w:rPr>
              <w:t>潜在火灾、固废排放</w:t>
            </w:r>
            <w:r>
              <w:rPr>
                <w:rFonts w:hint="eastAsia" w:asciiTheme="minorEastAsia" w:hAnsiTheme="minorEastAsia" w:eastAsiaTheme="minorEastAsia"/>
                <w:bCs/>
                <w:iCs/>
                <w:szCs w:val="21"/>
              </w:rPr>
              <w:t>，需要应对的风险和机遇相关的过程为</w:t>
            </w:r>
            <w:r>
              <w:rPr>
                <w:rFonts w:hint="eastAsia" w:asciiTheme="minorEastAsia" w:hAnsiTheme="minorEastAsia" w:eastAsiaTheme="minorEastAsia"/>
                <w:bCs/>
                <w:iCs/>
                <w:szCs w:val="21"/>
                <w:lang w:val="en-US" w:eastAsia="zh-CN"/>
              </w:rPr>
              <w:t>采购</w:t>
            </w:r>
            <w:r>
              <w:rPr>
                <w:rFonts w:hint="eastAsia" w:asciiTheme="minorEastAsia" w:hAnsiTheme="minorEastAsia" w:eastAsiaTheme="minorEastAsia"/>
                <w:bCs/>
                <w:iCs/>
                <w:szCs w:val="21"/>
              </w:rPr>
              <w:t>、</w:t>
            </w:r>
            <w:r>
              <w:rPr>
                <w:rFonts w:hint="eastAsia" w:asciiTheme="minorEastAsia" w:hAnsiTheme="minorEastAsia" w:eastAsiaTheme="minorEastAsia"/>
                <w:bCs/>
                <w:iCs/>
                <w:szCs w:val="21"/>
                <w:lang w:val="en-US" w:eastAsia="zh-CN"/>
              </w:rPr>
              <w:t>销售、</w:t>
            </w:r>
            <w:r>
              <w:rPr>
                <w:rFonts w:hint="eastAsia" w:asciiTheme="minorEastAsia" w:hAnsiTheme="minorEastAsia" w:eastAsiaTheme="minorEastAsia"/>
                <w:bCs/>
                <w:iCs/>
                <w:szCs w:val="21"/>
              </w:rPr>
              <w:t>安保</w:t>
            </w:r>
            <w:r>
              <w:rPr>
                <w:rFonts w:hint="eastAsia" w:asciiTheme="minorEastAsia" w:hAnsiTheme="minorEastAsia" w:eastAsiaTheme="minorEastAsia"/>
                <w:bCs/>
                <w:iCs/>
                <w:szCs w:val="21"/>
                <w:lang w:val="en-US" w:eastAsia="zh-CN"/>
              </w:rPr>
              <w:t>服务</w:t>
            </w:r>
            <w:r>
              <w:rPr>
                <w:rFonts w:hint="eastAsia" w:asciiTheme="minorEastAsia" w:hAnsiTheme="minorEastAsia" w:eastAsiaTheme="minorEastAsia"/>
                <w:bCs/>
                <w:iCs/>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eastAsia="宋体" w:cs="Times New Roman"/>
                <w:szCs w:val="21"/>
                <w:lang w:val="en-US" w:eastAsia="zh-CN"/>
              </w:rPr>
              <w:t>1）</w:t>
            </w:r>
            <w:r>
              <w:rPr>
                <w:rFonts w:hint="eastAsia" w:ascii="宋体" w:hAnsi="宋体" w:eastAsia="宋体" w:cs="Times New Roman"/>
                <w:szCs w:val="21"/>
              </w:rPr>
              <w:t>潜在火灾事故发生</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固体废弃物排放</w:t>
            </w:r>
            <w:r>
              <w:rPr>
                <w:rFonts w:hint="eastAsia" w:asciiTheme="minorEastAsia" w:hAnsiTheme="minorEastAsia" w:eastAsiaTheme="minorEastAsia"/>
                <w:bCs/>
                <w:iCs/>
                <w:szCs w:val="21"/>
              </w:rPr>
              <w:t>的</w:t>
            </w:r>
            <w:r>
              <w:rPr>
                <w:rFonts w:hint="eastAsia" w:asciiTheme="minorEastAsia" w:hAnsiTheme="minorEastAsia" w:eastAsiaTheme="minorEastAsia"/>
                <w:bCs/>
                <w:iCs/>
                <w:szCs w:val="21"/>
                <w:lang w:val="en-US" w:eastAsia="zh-CN"/>
              </w:rPr>
              <w:t>管理和</w:t>
            </w:r>
            <w:r>
              <w:rPr>
                <w:rFonts w:hint="eastAsia" w:asciiTheme="minorEastAsia" w:hAnsiTheme="minorEastAsia" w:eastAsiaTheme="minorEastAsia"/>
                <w:bCs/>
                <w:iCs/>
                <w:szCs w:val="21"/>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5"/>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Cs w:val="21"/>
              </w:rPr>
            </w:pPr>
            <w:r>
              <w:rPr>
                <w:rFonts w:hint="eastAsia" w:asciiTheme="minorEastAsia" w:hAnsiTheme="minorEastAsia" w:eastAsiaTheme="minorEastAsia"/>
                <w:bCs/>
                <w:iCs/>
                <w:szCs w:val="21"/>
              </w:rPr>
              <w:t>组织建立了危险源识别、评价控制程序，识别评价了危险源、风险相关的过程，评价出了重要危险源</w:t>
            </w:r>
            <w:r>
              <w:rPr>
                <w:rFonts w:hint="eastAsia" w:ascii="宋体" w:hAnsi="宋体" w:eastAsia="宋体" w:cs="Times New Roman"/>
                <w:szCs w:val="21"/>
                <w:lang w:val="en-US" w:eastAsia="zh-CN"/>
              </w:rPr>
              <w:t>1）火灾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触电</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3）意外</w:t>
            </w:r>
            <w:r>
              <w:rPr>
                <w:rFonts w:hint="eastAsia" w:ascii="宋体" w:hAnsi="宋体" w:eastAsia="宋体" w:cs="Times New Roman"/>
                <w:szCs w:val="21"/>
                <w:lang w:eastAsia="zh-CN"/>
              </w:rPr>
              <w:t>伤害</w:t>
            </w:r>
            <w:r>
              <w:rPr>
                <w:rFonts w:hint="eastAsia" w:ascii="宋体" w:hAnsi="宋体"/>
                <w:color w:val="000000"/>
                <w:szCs w:val="21"/>
              </w:rPr>
              <w:t>等</w:t>
            </w:r>
            <w:r>
              <w:rPr>
                <w:rFonts w:hint="eastAsia" w:asciiTheme="minorEastAsia" w:hAnsiTheme="minorEastAsia" w:eastAsiaTheme="minorEastAsia"/>
                <w:bCs/>
                <w:iCs/>
                <w:szCs w:val="21"/>
              </w:rPr>
              <w:t>，与之相关的过程有</w:t>
            </w:r>
            <w:r>
              <w:rPr>
                <w:rFonts w:hint="eastAsia" w:asciiTheme="minorEastAsia" w:hAnsiTheme="minorEastAsia" w:eastAsiaTheme="minorEastAsia"/>
                <w:bCs/>
                <w:iCs/>
                <w:szCs w:val="21"/>
                <w:lang w:val="en-US" w:eastAsia="zh-CN"/>
              </w:rPr>
              <w:t>采购、销售、安保服务</w:t>
            </w:r>
            <w:r>
              <w:rPr>
                <w:rFonts w:hint="eastAsia" w:asciiTheme="minorEastAsia" w:hAnsiTheme="minorEastAsia" w:eastAsiaTheme="minorEastAsia"/>
                <w:bCs/>
                <w:iCs/>
                <w:szCs w:val="21"/>
              </w:rPr>
              <w:t>过程，针对不可接受风险制定了管理方案。控制措施实施有效。</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eastAsia="宋体" w:cs="Times New Roman"/>
                <w:b/>
                <w:kern w:val="2"/>
                <w:sz w:val="21"/>
                <w:szCs w:val="21"/>
                <w:lang w:val="en-US" w:eastAsia="zh-CN" w:bidi="ar-SA"/>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eastAsia="宋体" w:cs="Times New Roman"/>
                <w:b/>
                <w:kern w:val="2"/>
                <w:sz w:val="21"/>
                <w:szCs w:val="21"/>
                <w:lang w:val="en-US" w:eastAsia="zh-CN" w:bidi="ar-SA"/>
              </w:rPr>
            </w:pPr>
            <w:r>
              <w:rPr>
                <w:rFonts w:hint="eastAsia" w:ascii="宋体" w:hAnsi="宋体" w:cs="宋体"/>
                <w:color w:val="000000"/>
                <w:szCs w:val="21"/>
              </w:rPr>
              <w:t>公司制定、发布了总体目标并分解到相关职能部</w:t>
            </w:r>
            <w:r>
              <w:rPr>
                <w:rFonts w:hint="eastAsia" w:ascii="宋体" w:hAnsi="宋体" w:cs="宋体"/>
                <w:color w:val="000000"/>
                <w:szCs w:val="21"/>
                <w:highlight w:val="none"/>
              </w:rPr>
              <w:t>门和层次，规定了目标值、计算方法、责任部门、检查人、考核频次等。同时，质量目标得到沟通和监视评价，通过数据的汇总统计、描述性统计等方法对目标进行了测量，总体已达到或超过</w:t>
            </w:r>
            <w:r>
              <w:rPr>
                <w:rFonts w:hint="eastAsia" w:ascii="宋体" w:hAnsi="宋体" w:cs="宋体"/>
                <w:color w:val="000000"/>
                <w:szCs w:val="21"/>
                <w:highlight w:val="none"/>
              </w:rPr>
              <w:t>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6"/>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w:t>
            </w:r>
            <w:r>
              <w:rPr>
                <w:rFonts w:hint="eastAsia" w:ascii="宋体" w:hAnsi="宋体" w:cs="宋体"/>
                <w:color w:val="000000"/>
                <w:szCs w:val="21"/>
                <w:highlight w:val="none"/>
              </w:rPr>
              <w:t>息的利用上不够，需要改善。近年来未发生重大顾客投诉和产品质量事故。顾客满意度调查按规定实施</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月实施，满意度评价9</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建立有《内部审核控制程序》，规定了内审频次一年一次，内审时间：</w:t>
            </w:r>
            <w:r>
              <w:rPr>
                <w:rFonts w:hint="eastAsia" w:ascii="宋体" w:hAnsi="宋体"/>
                <w:szCs w:val="21"/>
                <w:lang w:eastAsia="zh-CN"/>
              </w:rPr>
              <w:t>2021年1月25日-26日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ascii="宋体" w:hAnsi="宋体" w:cs="Times New Roman"/>
                <w:szCs w:val="21"/>
                <w:lang w:eastAsia="zh-CN"/>
              </w:rPr>
              <w:t>涉及</w:t>
            </w:r>
            <w:r>
              <w:rPr>
                <w:rFonts w:hint="eastAsia" w:ascii="宋体" w:hAnsi="宋体" w:cs="Times New Roman"/>
                <w:szCs w:val="21"/>
                <w:lang w:val="en-US" w:eastAsia="zh-CN"/>
              </w:rPr>
              <w:t>行政</w:t>
            </w:r>
            <w:r>
              <w:rPr>
                <w:rFonts w:hint="eastAsia" w:ascii="宋体" w:hAnsi="宋体" w:cs="Times New Roman"/>
                <w:szCs w:val="21"/>
                <w:lang w:eastAsia="zh-CN"/>
              </w:rPr>
              <w:t>部</w:t>
            </w:r>
            <w:r>
              <w:rPr>
                <w:rFonts w:hint="eastAsia" w:ascii="宋体" w:hAnsi="宋体" w:cs="Times New Roman"/>
                <w:szCs w:val="21"/>
                <w:lang w:val="en-US" w:eastAsia="zh-CN"/>
              </w:rPr>
              <w:t>Q/E/S7.2条款</w:t>
            </w:r>
            <w:r>
              <w:rPr>
                <w:rFonts w:hint="eastAsia" w:ascii="宋体" w:hAnsi="宋体" w:cs="Times New Roman"/>
                <w:szCs w:val="21"/>
                <w:lang w:eastAsia="zh-CN"/>
              </w:rPr>
              <w:t>未对2020年12月进行的质量环境安全责任教育培训的有效性进行评价和验证</w:t>
            </w:r>
            <w:r>
              <w:rPr>
                <w:rFonts w:hint="eastAsia" w:ascii="宋体" w:hAnsi="宋体"/>
                <w:szCs w:val="21"/>
              </w:rPr>
              <w:t>，</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管理评审频次为一年一次、本次管理评审于202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numPr>
                <w:ilvl w:val="0"/>
                <w:numId w:val="7"/>
              </w:numPr>
              <w:spacing w:line="240" w:lineRule="exact"/>
              <w:rPr>
                <w:rFonts w:ascii="宋体" w:hAnsi="宋体"/>
                <w:b/>
                <w:szCs w:val="21"/>
              </w:rPr>
            </w:pPr>
            <w:r>
              <w:rPr>
                <w:rFonts w:ascii="宋体" w:hAnsi="宋体"/>
                <w:b/>
                <w:szCs w:val="21"/>
              </w:rPr>
              <w:t xml:space="preserve"> EMS</w:t>
            </w:r>
            <w:r>
              <w:rPr>
                <w:rFonts w:hint="eastAsia" w:ascii="宋体" w:hAnsi="宋体"/>
                <w:b/>
                <w:szCs w:val="21"/>
              </w:rPr>
              <w:t>是否按规定对主要污染物（污水、废气、噪声、废渣等）及排放实施了例行的监视或测量，结果是否满足相关要求？</w:t>
            </w:r>
          </w:p>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ind w:left="105" w:hanging="105" w:hangingChars="50"/>
              <w:rPr>
                <w:rFonts w:ascii="宋体" w:hAnsi="宋体"/>
                <w:b/>
                <w:szCs w:val="21"/>
              </w:rPr>
            </w:pPr>
            <w:r>
              <w:rPr>
                <w:rFonts w:ascii="宋体" w:hAnsi="宋体"/>
                <w:b/>
                <w:szCs w:val="21"/>
              </w:rPr>
              <w:t>6.  EMS</w:t>
            </w:r>
            <w:r>
              <w:rPr>
                <w:rFonts w:hint="eastAsia" w:ascii="宋体" w:hAnsi="宋体"/>
                <w:b/>
                <w:szCs w:val="21"/>
              </w:rPr>
              <w:t>国家</w:t>
            </w:r>
            <w:r>
              <w:rPr>
                <w:rFonts w:ascii="宋体" w:hAnsi="宋体"/>
                <w:b/>
                <w:szCs w:val="21"/>
              </w:rPr>
              <w:t>/</w:t>
            </w:r>
            <w:r>
              <w:rPr>
                <w:rFonts w:hint="eastAsia" w:ascii="宋体" w:hAnsi="宋体"/>
                <w:b/>
                <w:szCs w:val="21"/>
              </w:rPr>
              <w:t>地方环保部门监测结果、新改扩建项目符合环评报告、三同时验收报告要求情况及措施</w:t>
            </w:r>
            <w:r>
              <w:rPr>
                <w:rFonts w:ascii="宋体" w:hAnsi="宋体"/>
                <w:b/>
                <w:szCs w:val="21"/>
              </w:rPr>
              <w:t>(98</w:t>
            </w:r>
            <w:r>
              <w:rPr>
                <w:rFonts w:hint="eastAsia" w:ascii="宋体" w:hAnsi="宋体"/>
                <w:b/>
                <w:szCs w:val="21"/>
              </w:rPr>
              <w:t>年后</w:t>
            </w:r>
            <w:r>
              <w:rPr>
                <w:rFonts w:ascii="宋体" w:hAnsi="宋体"/>
                <w:b/>
                <w:szCs w:val="21"/>
              </w:rPr>
              <w:t xml:space="preserve">) </w:t>
            </w:r>
          </w:p>
          <w:p>
            <w:pPr>
              <w:spacing w:line="240" w:lineRule="exact"/>
              <w:ind w:firstLine="211" w:firstLineChars="100"/>
              <w:rPr>
                <w:rFonts w:ascii="宋体" w:hAnsi="宋体" w:eastAsia="宋体" w:cs="Times New Roman"/>
                <w:b/>
                <w:kern w:val="2"/>
                <w:sz w:val="21"/>
                <w:szCs w:val="21"/>
                <w:lang w:val="en-US" w:eastAsia="zh-CN" w:bidi="ar-SA"/>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ind w:left="105" w:hanging="105" w:hangingChars="50"/>
              <w:rPr>
                <w:rFonts w:ascii="宋体" w:hAnsi="宋体"/>
                <w:b/>
                <w:szCs w:val="21"/>
              </w:rPr>
            </w:pPr>
            <w:r>
              <w:rPr>
                <w:rFonts w:ascii="宋体" w:hAnsi="宋体"/>
                <w:b/>
                <w:szCs w:val="21"/>
              </w:rPr>
              <w:t>7. OHSMS</w:t>
            </w:r>
            <w:r>
              <w:rPr>
                <w:rFonts w:hint="eastAsia" w:ascii="宋体" w:hAnsi="宋体"/>
                <w:b/>
                <w:szCs w:val="21"/>
              </w:rPr>
              <w:t>是否按规定对职业健康安全项目进行定期测量，结果是否满足相关要求：</w:t>
            </w:r>
          </w:p>
          <w:p>
            <w:pPr>
              <w:spacing w:line="240" w:lineRule="exact"/>
              <w:rPr>
                <w:rFonts w:ascii="宋体" w:hAnsi="宋体"/>
                <w:b/>
                <w:szCs w:val="21"/>
              </w:rPr>
            </w:pPr>
          </w:p>
          <w:p>
            <w:pPr>
              <w:spacing w:line="240" w:lineRule="exact"/>
              <w:ind w:firstLine="211" w:firstLineChars="100"/>
              <w:rPr>
                <w:rFonts w:ascii="宋体" w:hAnsi="宋体" w:eastAsia="宋体" w:cs="Times New Roman"/>
                <w:b/>
                <w:kern w:val="2"/>
                <w:sz w:val="21"/>
                <w:szCs w:val="21"/>
                <w:lang w:val="en-US" w:eastAsia="zh-CN" w:bidi="ar-SA"/>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8.OHSMS</w:t>
            </w:r>
            <w:r>
              <w:rPr>
                <w:rFonts w:hint="eastAsia" w:ascii="宋体" w:hAnsi="宋体"/>
                <w:b/>
                <w:szCs w:val="21"/>
              </w:rPr>
              <w:t>国家</w:t>
            </w:r>
            <w:r>
              <w:rPr>
                <w:rFonts w:ascii="宋体" w:hAnsi="宋体"/>
                <w:b/>
                <w:szCs w:val="21"/>
              </w:rPr>
              <w:t>/</w:t>
            </w:r>
            <w:r>
              <w:rPr>
                <w:rFonts w:hint="eastAsia" w:ascii="宋体" w:hAnsi="宋体"/>
                <w:b/>
                <w:szCs w:val="21"/>
              </w:rPr>
              <w:t>地方职业健康安全部门监督检查情况及措施</w:t>
            </w:r>
          </w:p>
          <w:p>
            <w:pPr>
              <w:spacing w:line="240" w:lineRule="exact"/>
              <w:rPr>
                <w:rFonts w:ascii="宋体" w:hAnsi="宋体" w:eastAsia="宋体" w:cs="Times New Roman"/>
                <w:b/>
                <w:kern w:val="2"/>
                <w:sz w:val="21"/>
                <w:szCs w:val="21"/>
                <w:lang w:val="en-US" w:eastAsia="zh-CN" w:bidi="ar-SA"/>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rFonts w:ascii="宋体" w:hAnsi="宋体" w:eastAsia="宋体" w:cs="Times New Roman"/>
                <w:b/>
                <w:kern w:val="2"/>
                <w:sz w:val="21"/>
                <w:szCs w:val="21"/>
                <w:lang w:val="en-US" w:eastAsia="zh-CN" w:bidi="ar-SA"/>
              </w:rPr>
            </w:pPr>
            <w:r>
              <w:rPr>
                <w:rFonts w:ascii="宋体" w:hAnsi="宋体"/>
                <w:b/>
                <w:szCs w:val="21"/>
              </w:rPr>
              <w:t xml:space="preserve">9. </w:t>
            </w:r>
            <w:r>
              <w:rPr>
                <w:rFonts w:hint="eastAsia" w:ascii="宋体" w:hAnsi="宋体"/>
                <w:b/>
                <w:szCs w:val="21"/>
              </w:rPr>
              <w:t>其他能够标明组织绩效、信誉的证据</w:t>
            </w:r>
            <w:r>
              <w:rPr>
                <w:rFonts w:ascii="宋体" w:hAnsi="宋体"/>
                <w:b/>
                <w:szCs w:val="21"/>
              </w:rPr>
              <w:t>/</w:t>
            </w:r>
            <w:r>
              <w:rPr>
                <w:rFonts w:hint="eastAsia" w:ascii="宋体" w:hAnsi="宋体"/>
                <w:b/>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eastAsia="宋体" w:cs="Times New Roman"/>
                <w:b/>
                <w:kern w:val="2"/>
                <w:sz w:val="21"/>
                <w:szCs w:val="21"/>
                <w:lang w:val="en-US" w:eastAsia="zh-CN" w:bidi="ar-SA"/>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ind w:left="-105" w:leftChars="-50" w:firstLine="506" w:firstLineChars="252"/>
              <w:rPr>
                <w:rFonts w:hint="default" w:ascii="宋体" w:hAnsi="宋体" w:eastAsia="宋体" w:cs="Times New Roman"/>
                <w:b/>
                <w:kern w:val="2"/>
                <w:sz w:val="21"/>
                <w:szCs w:val="21"/>
                <w:lang w:val="en-US" w:eastAsia="zh-CN" w:bidi="ar-SA"/>
              </w:rPr>
            </w:pPr>
            <w:r>
              <w:rPr>
                <w:rFonts w:hint="eastAsia"/>
                <w:b/>
                <w:color w:val="000000" w:themeColor="text1"/>
                <w:sz w:val="20"/>
                <w:szCs w:val="20"/>
              </w:rPr>
              <w:t>一阶段</w:t>
            </w:r>
            <w:r>
              <w:rPr>
                <w:rFonts w:hint="eastAsia"/>
                <w:b/>
                <w:color w:val="000000" w:themeColor="text1"/>
                <w:sz w:val="20"/>
                <w:szCs w:val="20"/>
                <w:lang w:val="en-US" w:eastAsia="zh-CN"/>
              </w:rPr>
              <w:t>审核</w:t>
            </w:r>
            <w:r>
              <w:rPr>
                <w:rFonts w:hint="eastAsia"/>
                <w:b/>
                <w:color w:val="000000" w:themeColor="text1"/>
                <w:sz w:val="20"/>
                <w:szCs w:val="20"/>
              </w:rPr>
              <w:t>无</w:t>
            </w:r>
            <w:r>
              <w:rPr>
                <w:rFonts w:hint="eastAsia"/>
                <w:b/>
                <w:color w:val="000000" w:themeColor="text1"/>
                <w:sz w:val="20"/>
                <w:szCs w:val="20"/>
                <w:lang w:val="en-US" w:eastAsia="zh-CN"/>
              </w:rPr>
              <w:t>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eastAsia="宋体" w:cs="Times New Roman"/>
                <w:b/>
                <w:kern w:val="2"/>
                <w:sz w:val="21"/>
                <w:szCs w:val="21"/>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2051" o:spt="20" style="position:absolute;left:0pt;margin-left:210pt;margin-top:16.2pt;height:0pt;width:0pt;z-index:251660288;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w:t>
      </w:r>
      <w:r>
        <w:rPr>
          <w:rFonts w:hint="eastAsia"/>
          <w:b/>
          <w:color w:val="000000" w:themeColor="text1"/>
          <w:highlight w:val="none"/>
          <w:lang w:eastAsia="zh-CN"/>
        </w:rPr>
        <w:t>，</w:t>
      </w:r>
      <w:r>
        <w:rPr>
          <w:rFonts w:hint="eastAsia"/>
          <w:b/>
          <w:color w:val="000000" w:themeColor="text1"/>
          <w:highlight w:val="none"/>
          <w:lang w:val="en-US" w:eastAsia="zh-CN"/>
        </w:rPr>
        <w:t>不符合项</w:t>
      </w:r>
      <w:r>
        <w:rPr>
          <w:rFonts w:hint="eastAsia"/>
          <w:b/>
          <w:color w:val="000000" w:themeColor="text1"/>
          <w:highlight w:val="none"/>
        </w:rPr>
        <w:t>分布在</w:t>
      </w:r>
      <w:r>
        <w:rPr>
          <w:rFonts w:hint="eastAsia" w:ascii="方正仿宋简体" w:eastAsia="方正仿宋简体"/>
          <w:b/>
          <w:highlight w:val="none"/>
          <w:lang w:val="en-US" w:eastAsia="zh-CN"/>
        </w:rPr>
        <w:t>安保部</w:t>
      </w:r>
      <w:r>
        <w:rPr>
          <w:rFonts w:hint="eastAsia"/>
          <w:b/>
          <w:color w:val="000000" w:themeColor="text1"/>
          <w:highlight w:val="none"/>
        </w:rPr>
        <w:t>部门</w:t>
      </w:r>
      <w:r>
        <w:rPr>
          <w:rFonts w:hint="eastAsia"/>
          <w:b/>
          <w:color w:val="000000" w:themeColor="text1"/>
          <w:highlight w:val="none"/>
          <w:lang w:val="en-US" w:eastAsia="zh-CN"/>
        </w:rPr>
        <w:t>Q8.5.1</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highlight w:val="none"/>
        </w:rPr>
        <w:t>2. 本次审核发现不符合及存在问题对管理体系实现目标的影响</w:t>
      </w:r>
      <w:r>
        <w:rPr>
          <w:rFonts w:hint="eastAsia"/>
          <w:b/>
          <w:color w:val="000000" w:themeColor="text1"/>
          <w:spacing w:val="-10"/>
          <w:szCs w:val="21"/>
          <w:highlight w:val="none"/>
        </w:rPr>
        <w:t>□</w:t>
      </w:r>
      <w:r>
        <w:rPr>
          <w:rFonts w:hint="eastAsia"/>
          <w:b/>
          <w:color w:val="000000" w:themeColor="text1"/>
          <w:highlight w:val="none"/>
        </w:rPr>
        <w:t>较大</w:t>
      </w:r>
      <w:r>
        <w:rPr>
          <w:rFonts w:hint="eastAsia" w:ascii="宋体" w:hAnsi="宋体" w:eastAsia="宋体" w:cs="宋体"/>
          <w:b/>
          <w:color w:val="000000" w:themeColor="text1"/>
          <w:spacing w:val="-10"/>
          <w:szCs w:val="21"/>
          <w:highlight w:val="none"/>
        </w:rPr>
        <w:t>■</w:t>
      </w:r>
      <w:r>
        <w:rPr>
          <w:rFonts w:hint="eastAsia"/>
          <w:b/>
          <w:color w:val="000000" w:themeColor="text1"/>
          <w:highlight w:val="none"/>
        </w:rPr>
        <w:t>不</w:t>
      </w:r>
      <w:r>
        <w:rPr>
          <w:rFonts w:hint="eastAsia"/>
          <w:b/>
          <w:color w:val="000000" w:themeColor="text1"/>
        </w:rPr>
        <w:t>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rFonts w:ascii="Times New Roman" w:hAnsi="Times New Roman" w:eastAsia="宋体" w:cs="Times New Roman"/>
                <w:b/>
                <w:color w:val="000000" w:themeColor="text1"/>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0080" w:type="dxa"/>
            <w:vAlign w:val="top"/>
          </w:tcPr>
          <w:p>
            <w:pPr>
              <w:rPr>
                <w:b/>
                <w:color w:val="000000" w:themeColor="text1"/>
              </w:rPr>
            </w:pPr>
            <w:r>
              <w:rPr>
                <w:rFonts w:hint="eastAsia"/>
                <w:b/>
                <w:color w:val="000000" w:themeColor="text1"/>
              </w:rPr>
              <w:t>2.对审核范围适宜性结论</w:t>
            </w:r>
          </w:p>
          <w:p>
            <w:pPr>
              <w:ind w:left="-105" w:leftChars="-50"/>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eastAsia="宋体"/>
                <w:color w:val="000000"/>
                <w:szCs w:val="21"/>
                <w:lang w:eastAsia="zh-CN"/>
              </w:rPr>
            </w:pPr>
            <w:r>
              <w:rPr>
                <w:rFonts w:hint="eastAsia" w:ascii="宋体" w:hAnsi="宋体"/>
                <w:szCs w:val="21"/>
              </w:rPr>
              <w:t>Q</w:t>
            </w:r>
            <w:r>
              <w:rPr>
                <w:rFonts w:hint="eastAsia" w:ascii="宋体" w:hAnsi="宋体"/>
                <w:szCs w:val="21"/>
                <w:lang w:val="en-US" w:eastAsia="zh-CN"/>
              </w:rPr>
              <w:t>MS</w:t>
            </w:r>
            <w:r>
              <w:rPr>
                <w:rFonts w:hint="eastAsia" w:ascii="宋体" w:hAnsi="宋体"/>
                <w:szCs w:val="21"/>
              </w:rPr>
              <w:t>：保安服务（限许可范围内），安防设备的销售</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E</w:t>
            </w:r>
            <w:r>
              <w:rPr>
                <w:rFonts w:hint="eastAsia" w:ascii="宋体" w:hAnsi="宋体"/>
                <w:szCs w:val="21"/>
                <w:lang w:val="en-US" w:eastAsia="zh-CN"/>
              </w:rPr>
              <w:t>MS</w:t>
            </w:r>
            <w:r>
              <w:rPr>
                <w:rFonts w:hint="eastAsia" w:ascii="宋体" w:hAnsi="宋体"/>
                <w:szCs w:val="21"/>
              </w:rPr>
              <w:t>：保安服务（限许可范围内），安防设备的销售所涉及场所的相关环境管理活动</w:t>
            </w:r>
            <w:r>
              <w:rPr>
                <w:rFonts w:hint="eastAsia" w:ascii="宋体" w:hAnsi="宋体"/>
                <w:szCs w:val="21"/>
                <w:lang w:eastAsia="zh-CN"/>
              </w:rPr>
              <w:t>。</w:t>
            </w:r>
          </w:p>
          <w:p>
            <w:pPr>
              <w:rPr>
                <w:rFonts w:ascii="Times New Roman" w:hAnsi="Times New Roman" w:eastAsia="宋体" w:cs="Times New Roman"/>
                <w:b/>
                <w:color w:val="000000" w:themeColor="text1"/>
                <w:spacing w:val="-10"/>
                <w:kern w:val="2"/>
                <w:sz w:val="22"/>
                <w:szCs w:val="22"/>
                <w:lang w:val="en-US" w:eastAsia="zh-CN" w:bidi="ar-SA"/>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 xml:space="preserve">：保安服务（限许可范围内），安防设备的销售所涉及场所的相关职业健康安全管理活动 </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rFonts w:ascii="Times New Roman" w:hAnsi="Times New Roman" w:eastAsia="宋体" w:cs="Times New Roman"/>
                <w:b/>
                <w:color w:val="000000" w:themeColor="text1"/>
                <w:spacing w:val="-10"/>
                <w:kern w:val="2"/>
                <w:sz w:val="16"/>
                <w:szCs w:val="16"/>
                <w:lang w:val="en-US" w:eastAsia="zh-CN" w:bidi="ar-SA"/>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3360" behindDoc="0" locked="0" layoutInCell="1" allowOverlap="1">
            <wp:simplePos x="0" y="0"/>
            <wp:positionH relativeFrom="column">
              <wp:posOffset>1622425</wp:posOffset>
            </wp:positionH>
            <wp:positionV relativeFrom="paragraph">
              <wp:posOffset>405765</wp:posOffset>
            </wp:positionV>
            <wp:extent cx="371475" cy="341630"/>
            <wp:effectExtent l="0" t="0" r="9525" b="8890"/>
            <wp:wrapNone/>
            <wp:docPr id="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Desktop\文平1.jpg"/>
                    <pic:cNvPicPr>
                      <a:picLocks noChangeAspect="1"/>
                    </pic:cNvPicPr>
                  </pic:nvPicPr>
                  <pic:blipFill>
                    <a:blip r:embed="rId6"/>
                    <a:stretch>
                      <a:fillRect/>
                    </a:stretch>
                  </pic:blipFill>
                  <pic:spPr>
                    <a:xfrm>
                      <a:off x="0" y="0"/>
                      <a:ext cx="371475" cy="34163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2" w:firstLineChars="250"/>
        <w:rPr>
          <w:b/>
          <w:color w:val="000000" w:themeColor="text1"/>
        </w:rPr>
      </w:pPr>
      <w:r>
        <w:rPr>
          <w:rFonts w:hint="eastAsia"/>
          <w:b/>
          <w:sz w:val="22"/>
          <w:szCs w:val="22"/>
        </w:rPr>
        <w:drawing>
          <wp:anchor distT="0" distB="0" distL="114300" distR="114300" simplePos="0" relativeHeight="251665408" behindDoc="0" locked="0" layoutInCell="1" allowOverlap="1">
            <wp:simplePos x="0" y="0"/>
            <wp:positionH relativeFrom="column">
              <wp:posOffset>2375535</wp:posOffset>
            </wp:positionH>
            <wp:positionV relativeFrom="paragraph">
              <wp:posOffset>146050</wp:posOffset>
            </wp:positionV>
            <wp:extent cx="511810" cy="387350"/>
            <wp:effectExtent l="0" t="0" r="6350" b="8890"/>
            <wp:wrapNone/>
            <wp:docPr id="8"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Administrator\Desktop\签名.jpg"/>
                    <pic:cNvPicPr>
                      <a:picLocks noChangeAspect="1"/>
                    </pic:cNvPicPr>
                  </pic:nvPicPr>
                  <pic:blipFill>
                    <a:blip r:embed="rId7"/>
                    <a:stretch>
                      <a:fillRect/>
                    </a:stretch>
                  </pic:blipFill>
                  <pic:spPr>
                    <a:xfrm>
                      <a:off x="0" y="0"/>
                      <a:ext cx="511810" cy="38735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2919730</wp:posOffset>
            </wp:positionH>
            <wp:positionV relativeFrom="paragraph">
              <wp:posOffset>70485</wp:posOffset>
            </wp:positionV>
            <wp:extent cx="716280" cy="520065"/>
            <wp:effectExtent l="0" t="0" r="0" b="13335"/>
            <wp:wrapNone/>
            <wp:docPr id="5" name="图片 6"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C:\Users\24309\AppData\Local\Temp\WeChat Files\5990baca09647c352f1321b31faa90a.jpg"/>
                    <pic:cNvPicPr>
                      <a:picLocks noChangeAspect="1"/>
                    </pic:cNvPicPr>
                  </pic:nvPicPr>
                  <pic:blipFill>
                    <a:blip r:embed="rId8"/>
                    <a:stretch>
                      <a:fillRect/>
                    </a:stretch>
                  </pic:blipFill>
                  <pic:spPr>
                    <a:xfrm>
                      <a:off x="0" y="0"/>
                      <a:ext cx="716280" cy="52006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1645920</wp:posOffset>
            </wp:positionH>
            <wp:positionV relativeFrom="paragraph">
              <wp:posOffset>177165</wp:posOffset>
            </wp:positionV>
            <wp:extent cx="508635" cy="321945"/>
            <wp:effectExtent l="0" t="0" r="9525" b="13335"/>
            <wp:wrapNone/>
            <wp:docPr id="7" name="图片 52" descr="ecc757a4fde7f2c302b34e66f765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2" descr="ecc757a4fde7f2c302b34e66f765876"/>
                    <pic:cNvPicPr>
                      <a:picLocks noChangeAspect="1"/>
                    </pic:cNvPicPr>
                  </pic:nvPicPr>
                  <pic:blipFill>
                    <a:blip r:embed="rId9"/>
                    <a:stretch>
                      <a:fillRect/>
                    </a:stretch>
                  </pic:blipFill>
                  <pic:spPr>
                    <a:xfrm>
                      <a:off x="0" y="0"/>
                      <a:ext cx="508635" cy="321945"/>
                    </a:xfrm>
                    <a:prstGeom prst="rect">
                      <a:avLst/>
                    </a:prstGeom>
                    <a:noFill/>
                    <a:ln>
                      <a:noFill/>
                    </a:ln>
                  </pic:spPr>
                </pic:pic>
              </a:graphicData>
            </a:graphic>
          </wp:anchor>
        </w:drawing>
      </w:r>
      <w:r>
        <w:rPr>
          <w:rFonts w:ascii="宋体" w:hAnsi="宋体"/>
        </w:rPr>
        <w:drawing>
          <wp:anchor distT="0" distB="0" distL="114300" distR="114300" simplePos="0" relativeHeight="251662336" behindDoc="0" locked="0" layoutInCell="1" allowOverlap="1">
            <wp:simplePos x="0" y="0"/>
            <wp:positionH relativeFrom="page">
              <wp:posOffset>4792980</wp:posOffset>
            </wp:positionH>
            <wp:positionV relativeFrom="page">
              <wp:posOffset>2006600</wp:posOffset>
            </wp:positionV>
            <wp:extent cx="817880" cy="509270"/>
            <wp:effectExtent l="0" t="0" r="5080" b="8890"/>
            <wp:wrapNone/>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pic:cNvPicPr>
                  </pic:nvPicPr>
                  <pic:blipFill>
                    <a:blip r:embed="rId10"/>
                    <a:stretch>
                      <a:fillRect/>
                    </a:stretch>
                  </pic:blipFill>
                  <pic:spPr>
                    <a:xfrm>
                      <a:off x="0" y="0"/>
                      <a:ext cx="817880" cy="50927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rPr>
        <w:t>十五、纠正措施验</w:t>
      </w:r>
      <w:r>
        <w:rPr>
          <w:rFonts w:hint="eastAsia"/>
          <w:b/>
          <w:color w:val="000000" w:themeColor="text1"/>
          <w:sz w:val="26"/>
          <w:szCs w:val="26"/>
          <w:highlight w:val="none"/>
        </w:rPr>
        <w:t>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 xml:space="preserve">OHSMS( </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1667456" behindDoc="0" locked="0" layoutInCell="1" allowOverlap="1">
            <wp:simplePos x="0" y="0"/>
            <wp:positionH relativeFrom="column">
              <wp:posOffset>817880</wp:posOffset>
            </wp:positionH>
            <wp:positionV relativeFrom="paragraph">
              <wp:posOffset>114935</wp:posOffset>
            </wp:positionV>
            <wp:extent cx="371475" cy="341630"/>
            <wp:effectExtent l="0" t="0" r="9525" b="8890"/>
            <wp:wrapNone/>
            <wp:docPr id="9"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24309\Desktop\文平1.jpg"/>
                    <pic:cNvPicPr>
                      <a:picLocks noChangeAspect="1"/>
                    </pic:cNvPicPr>
                  </pic:nvPicPr>
                  <pic:blipFill>
                    <a:blip r:embed="rId6"/>
                    <a:stretch>
                      <a:fillRect/>
                    </a:stretch>
                  </pic:blipFill>
                  <pic:spPr>
                    <a:xfrm>
                      <a:off x="0" y="0"/>
                      <a:ext cx="371475" cy="341630"/>
                    </a:xfrm>
                    <a:prstGeom prst="rect">
                      <a:avLst/>
                    </a:prstGeom>
                    <a:noFill/>
                    <a:ln>
                      <a:noFill/>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A95C70"/>
    <w:multiLevelType w:val="singleLevel"/>
    <w:tmpl w:val="66A95C70"/>
    <w:lvl w:ilvl="0" w:tentative="0">
      <w:start w:val="1"/>
      <w:numFmt w:val="decimal"/>
      <w:suff w:val="nothing"/>
      <w:lvlText w:val="%1、"/>
      <w:lvlJc w:val="left"/>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EA6F5B"/>
    <w:rsid w:val="0E8B34DD"/>
    <w:rsid w:val="7C233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2021-05-06T07:21:05Z</cp:lastPrinted>
  <dcterms:modified xsi:type="dcterms:W3CDTF">2021-05-06T07:24:06Z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8478371B07B14E4DA8785DCDD63C78A2</vt:lpwstr>
  </property>
</Properties>
</file>