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20479-2025-QEO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3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安徽同曦高科新材料有限责任公司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姜士昌、查月桂、孙洪艳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049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安徽同曦高科新材料有限责任公司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2023-N1QMS-1310003</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2023-N1EMS-1310003</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姜士昌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2023-N1OHSMS-1310003</w:t>
            </w:r>
          </w:p>
        </w:tc>
        <w:tc>
          <w:tcPr>
            <w:tcW w:w="3145" w:type="dxa"/>
            <w:vAlign w:val="center"/>
          </w:tcPr>
          <w:p w14:paraId="7F43F701">
            <w:pPr>
              <w:spacing w:line="360" w:lineRule="exact"/>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17.06.01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Q:铝合金型材的生产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E:铝合金型材的生产所涉及场所的相关环境管理活动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O:铝合金型材的生产所涉及场所的相关职业健康安全管理活动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安徽省蚌埠市固镇县经济开发区纬六路601号</w:t>
      </w:r>
    </w:p>
    <w:p w14:paraId="5FB2C4BD">
      <w:pPr>
        <w:spacing w:line="360" w:lineRule="auto"/>
        <w:ind w:firstLine="420" w:firstLineChars="200"/>
      </w:pPr>
      <w:r>
        <w:rPr>
          <w:rFonts w:hint="eastAsia"/>
        </w:rPr>
        <w:t>办公地址：</w:t>
      </w:r>
      <w:r>
        <w:rPr>
          <w:rFonts w:hint="eastAsia"/>
        </w:rPr>
        <w:t>安徽省蚌埠市固镇县经济开发区纬六路601号</w:t>
      </w:r>
    </w:p>
    <w:p w14:paraId="3E2A92FF">
      <w:pPr>
        <w:spacing w:line="360" w:lineRule="auto"/>
        <w:ind w:firstLine="420" w:firstLineChars="200"/>
      </w:pPr>
      <w:r>
        <w:rPr>
          <w:rFonts w:hint="eastAsia"/>
        </w:rPr>
        <w:t>经营地址：</w:t>
      </w:r>
      <w:bookmarkStart w:id="14" w:name="生产地址"/>
      <w:bookmarkEnd w:id="14"/>
      <w:r>
        <w:rPr>
          <w:rFonts w:hint="eastAsia"/>
        </w:rPr>
        <w:t>安徽省蚌埠市固镇县经济开发区纬六路601号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2025年07月06日 08:30至2025年07月06日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安徽同曦高科新材料有限责任公司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姜士昌、查月桂、孙洪艳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53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