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Theme="minorEastAsia" w:hAnsiTheme="minorEastAsia" w:eastAsiaTheme="minorEastAsia" w:cstheme="minorEastAsia"/>
          <w:bCs/>
          <w:color w:val="000000"/>
          <w:sz w:val="36"/>
          <w:szCs w:val="36"/>
        </w:rPr>
        <w:t>管理体系审核记录表</w:t>
      </w:r>
    </w:p>
    <w:tbl>
      <w:tblPr>
        <w:tblStyle w:val="18"/>
        <w:tblW w:w="14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965"/>
        <w:gridCol w:w="1092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73" w:type="dxa"/>
            <w:vMerge w:val="restart"/>
            <w:vAlign w:val="center"/>
          </w:tcPr>
          <w:p>
            <w:pPr>
              <w:spacing w:before="12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过程与活动、</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抽样计划</w:t>
            </w:r>
          </w:p>
        </w:tc>
        <w:tc>
          <w:tcPr>
            <w:tcW w:w="965" w:type="dxa"/>
            <w:vMerge w:val="restart"/>
            <w:vAlign w:val="center"/>
          </w:tcPr>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涉及</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w:t>
            </w:r>
          </w:p>
        </w:tc>
        <w:tc>
          <w:tcPr>
            <w:tcW w:w="10927" w:type="dxa"/>
            <w:vAlign w:val="center"/>
          </w:tcPr>
          <w:p>
            <w:pPr>
              <w:rPr>
                <w:rFonts w:hint="eastAsia" w:ascii="Times New Roman" w:hAnsi="Times New Roman" w:cs="Times New Roman"/>
                <w:szCs w:val="22"/>
                <w:highlight w:val="none"/>
                <w:lang w:eastAsia="zh-CN"/>
              </w:rPr>
            </w:pPr>
            <w:r>
              <w:rPr>
                <w:rFonts w:ascii="Times New Roman" w:hAnsi="Times New Roman" w:cs="Times New Roman"/>
                <w:szCs w:val="22"/>
                <w:highlight w:val="none"/>
              </w:rPr>
              <w:t>受审核部门：</w:t>
            </w:r>
            <w:r>
              <w:rPr>
                <w:rFonts w:hint="eastAsia" w:cs="Times New Roman"/>
                <w:szCs w:val="22"/>
                <w:highlight w:val="none"/>
                <w:lang w:val="en-US" w:eastAsia="zh-CN"/>
              </w:rPr>
              <w:t>生产部</w:t>
            </w:r>
            <w:r>
              <w:rPr>
                <w:rFonts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主管领导：</w:t>
            </w:r>
            <w:r>
              <w:rPr>
                <w:rFonts w:hint="eastAsia" w:cs="Times New Roman"/>
                <w:szCs w:val="22"/>
                <w:highlight w:val="none"/>
                <w:lang w:eastAsia="zh-CN"/>
              </w:rPr>
              <w:t>杨丁银</w:t>
            </w:r>
            <w:r>
              <w:rPr>
                <w:rFonts w:ascii="Times New Roman" w:hAnsi="Times New Roman" w:cs="Times New Roman"/>
                <w:szCs w:val="22"/>
                <w:highlight w:val="none"/>
              </w:rPr>
              <w:t xml:space="preserve">  </w:t>
            </w:r>
            <w:r>
              <w:rPr>
                <w:rFonts w:hint="eastAsia" w:ascii="Times New Roman" w:hAnsi="Times New Roman" w:cs="Times New Roman"/>
                <w:szCs w:val="22"/>
                <w:highlight w:val="none"/>
              </w:rPr>
              <w:t xml:space="preserve"> </w:t>
            </w:r>
            <w:r>
              <w:rPr>
                <w:rFonts w:hint="eastAsia" w:ascii="Times New Roman" w:hAnsi="Times New Roman" w:cs="Times New Roman"/>
                <w:szCs w:val="22"/>
                <w:highlight w:val="none"/>
                <w:lang w:val="en-US" w:eastAsia="zh-CN"/>
              </w:rPr>
              <w:t xml:space="preserve">   </w:t>
            </w:r>
            <w:r>
              <w:rPr>
                <w:rFonts w:ascii="Times New Roman" w:hAnsi="Times New Roman" w:cs="Times New Roman"/>
                <w:szCs w:val="22"/>
                <w:highlight w:val="none"/>
              </w:rPr>
              <w:t xml:space="preserve"> 陪同人员：</w:t>
            </w:r>
            <w:r>
              <w:rPr>
                <w:rFonts w:hint="eastAsia" w:cs="Times New Roman"/>
                <w:szCs w:val="22"/>
                <w:highlight w:val="none"/>
                <w:lang w:eastAsia="zh-CN"/>
              </w:rPr>
              <w:t>杨秧秧</w:t>
            </w:r>
          </w:p>
        </w:tc>
        <w:tc>
          <w:tcPr>
            <w:tcW w:w="73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审核员：</w:t>
            </w:r>
            <w:r>
              <w:rPr>
                <w:rFonts w:hint="eastAsia" w:ascii="Times New Roman" w:hAnsi="Times New Roman" w:cs="Times New Roman"/>
                <w:szCs w:val="22"/>
                <w:highlight w:val="none"/>
                <w:lang w:val="en-US" w:eastAsia="zh-CN"/>
              </w:rPr>
              <w:t xml:space="preserve">郭力              </w:t>
            </w:r>
            <w:r>
              <w:rPr>
                <w:rFonts w:hint="eastAsia" w:ascii="Times New Roman" w:hAnsi="Times New Roman" w:cs="Times New Roman"/>
                <w:szCs w:val="22"/>
                <w:highlight w:val="none"/>
              </w:rPr>
              <w:t>审核时间：202</w:t>
            </w: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年</w:t>
            </w:r>
            <w:r>
              <w:rPr>
                <w:rFonts w:hint="eastAsia" w:cs="Times New Roman"/>
                <w:szCs w:val="22"/>
                <w:highlight w:val="none"/>
                <w:lang w:val="en-US" w:eastAsia="zh-CN"/>
              </w:rPr>
              <w:t>5</w:t>
            </w:r>
            <w:r>
              <w:rPr>
                <w:rFonts w:hint="eastAsia" w:ascii="Times New Roman" w:hAnsi="Times New Roman" w:cs="Times New Roman"/>
                <w:szCs w:val="22"/>
                <w:highlight w:val="none"/>
              </w:rPr>
              <w:t>月</w:t>
            </w:r>
            <w:r>
              <w:rPr>
                <w:rFonts w:hint="eastAsia" w:cs="Times New Roman"/>
                <w:szCs w:val="22"/>
                <w:highlight w:val="none"/>
                <w:lang w:val="en-US" w:eastAsia="zh-CN"/>
              </w:rPr>
              <w:t>7</w:t>
            </w:r>
            <w:r>
              <w:rPr>
                <w:rFonts w:hint="eastAsia" w:ascii="Times New Roman" w:hAnsi="Times New Roman" w:cs="Times New Roman"/>
                <w:szCs w:val="22"/>
                <w:highlight w:val="none"/>
              </w:rPr>
              <w:t>日</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73" w:type="dxa"/>
            <w:vMerge w:val="continue"/>
            <w:vAlign w:val="center"/>
          </w:tcPr>
          <w:p>
            <w:pPr>
              <w:rPr>
                <w:rFonts w:hint="eastAsia" w:asciiTheme="minorEastAsia" w:hAnsiTheme="minorEastAsia" w:eastAsiaTheme="minorEastAsia" w:cstheme="minorEastAsia"/>
                <w:sz w:val="21"/>
                <w:szCs w:val="21"/>
                <w:highlight w:val="none"/>
              </w:rPr>
            </w:pPr>
          </w:p>
        </w:tc>
        <w:tc>
          <w:tcPr>
            <w:tcW w:w="965" w:type="dxa"/>
            <w:vMerge w:val="continue"/>
            <w:vAlign w:val="center"/>
          </w:tcPr>
          <w:p>
            <w:pPr>
              <w:rPr>
                <w:rFonts w:hint="eastAsia" w:asciiTheme="minorEastAsia" w:hAnsiTheme="minorEastAsia" w:eastAsiaTheme="minorEastAsia" w:cstheme="minorEastAsia"/>
                <w:sz w:val="21"/>
                <w:szCs w:val="21"/>
                <w:highlight w:val="none"/>
              </w:rPr>
            </w:pPr>
          </w:p>
        </w:tc>
        <w:tc>
          <w:tcPr>
            <w:tcW w:w="10927" w:type="dxa"/>
            <w:vAlign w:val="center"/>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审核条款：</w:t>
            </w:r>
          </w:p>
          <w:p>
            <w:pPr>
              <w:rPr>
                <w:rFonts w:hint="eastAsia" w:ascii="Times New Roman" w:hAnsi="Times New Roman" w:cs="Times New Roman"/>
                <w:szCs w:val="22"/>
                <w:highlight w:val="none"/>
              </w:rPr>
            </w:pPr>
            <w:r>
              <w:rPr>
                <w:rFonts w:hint="eastAsia" w:asciiTheme="minorEastAsia" w:hAnsiTheme="minorEastAsia" w:eastAsiaTheme="minorEastAsia" w:cstheme="minorEastAsia"/>
                <w:b w:val="0"/>
                <w:bCs w:val="0"/>
                <w:color w:val="auto"/>
                <w:sz w:val="21"/>
                <w:szCs w:val="21"/>
                <w:lang w:val="en-US" w:eastAsia="zh-CN"/>
              </w:rPr>
              <w:t>Q：</w:t>
            </w:r>
            <w:r>
              <w:rPr>
                <w:rFonts w:hint="eastAsia" w:ascii="宋体" w:hAnsi="宋体" w:cs="Arial"/>
                <w:color w:val="auto"/>
                <w:sz w:val="21"/>
                <w:szCs w:val="21"/>
              </w:rPr>
              <w:t>7.1.3</w:t>
            </w:r>
            <w:r>
              <w:rPr>
                <w:rFonts w:hint="eastAsia" w:ascii="宋体" w:hAnsi="宋体" w:cs="Arial"/>
                <w:color w:val="auto"/>
                <w:sz w:val="21"/>
                <w:szCs w:val="21"/>
                <w:lang w:eastAsia="zh-CN"/>
              </w:rPr>
              <w:t>、</w:t>
            </w:r>
            <w:r>
              <w:rPr>
                <w:rFonts w:hint="eastAsia" w:ascii="宋体" w:hAnsi="宋体" w:cs="Arial"/>
                <w:color w:val="auto"/>
                <w:sz w:val="21"/>
                <w:szCs w:val="21"/>
              </w:rPr>
              <w:t>7.1.4</w:t>
            </w:r>
            <w:r>
              <w:rPr>
                <w:rFonts w:hint="eastAsia" w:ascii="宋体" w:hAnsi="宋体" w:cs="Arial"/>
                <w:color w:val="auto"/>
                <w:sz w:val="21"/>
                <w:szCs w:val="21"/>
                <w:lang w:eastAsia="zh-CN"/>
              </w:rPr>
              <w:t>、</w:t>
            </w:r>
            <w:r>
              <w:rPr>
                <w:rFonts w:hint="eastAsia" w:ascii="宋体" w:hAnsi="宋体" w:cs="Arial"/>
                <w:color w:val="auto"/>
                <w:sz w:val="21"/>
                <w:szCs w:val="21"/>
                <w:lang w:val="en-US" w:eastAsia="zh-CN"/>
              </w:rPr>
              <w:t>8.3、</w:t>
            </w:r>
            <w:r>
              <w:rPr>
                <w:rFonts w:hint="eastAsia" w:ascii="宋体" w:hAnsi="宋体" w:cs="Arial"/>
                <w:color w:val="auto"/>
                <w:sz w:val="21"/>
                <w:szCs w:val="21"/>
              </w:rPr>
              <w:t>8.5.2</w:t>
            </w:r>
            <w:r>
              <w:rPr>
                <w:rFonts w:hint="eastAsia" w:ascii="宋体" w:hAnsi="宋体" w:cs="Arial"/>
                <w:color w:val="auto"/>
                <w:sz w:val="21"/>
                <w:szCs w:val="21"/>
                <w:lang w:eastAsia="zh-CN"/>
              </w:rPr>
              <w:t>、</w:t>
            </w:r>
            <w:r>
              <w:rPr>
                <w:rFonts w:hint="eastAsia" w:ascii="宋体" w:hAnsi="宋体" w:cs="Arial"/>
                <w:color w:val="auto"/>
                <w:sz w:val="21"/>
                <w:szCs w:val="21"/>
              </w:rPr>
              <w:t>8.5.4</w:t>
            </w:r>
            <w:r>
              <w:rPr>
                <w:rFonts w:hint="eastAsia" w:ascii="宋体" w:hAnsi="宋体" w:cs="Arial"/>
                <w:color w:val="auto"/>
                <w:sz w:val="21"/>
                <w:szCs w:val="21"/>
                <w:lang w:eastAsia="zh-CN"/>
              </w:rPr>
              <w:t>、</w:t>
            </w:r>
            <w:r>
              <w:rPr>
                <w:rFonts w:hint="eastAsia" w:ascii="宋体" w:hAnsi="宋体" w:cs="Arial"/>
                <w:color w:val="auto"/>
                <w:sz w:val="21"/>
                <w:szCs w:val="21"/>
              </w:rPr>
              <w:t>8.5.5</w:t>
            </w:r>
            <w:r>
              <w:rPr>
                <w:rFonts w:hint="eastAsia" w:ascii="宋体" w:hAnsi="宋体" w:cs="Arial"/>
                <w:color w:val="auto"/>
                <w:sz w:val="21"/>
                <w:szCs w:val="21"/>
                <w:lang w:eastAsia="zh-CN"/>
              </w:rPr>
              <w:t>、</w:t>
            </w:r>
            <w:r>
              <w:rPr>
                <w:rFonts w:hint="eastAsia" w:ascii="宋体" w:hAnsi="宋体" w:cs="Arial"/>
                <w:color w:val="auto"/>
                <w:sz w:val="21"/>
                <w:szCs w:val="21"/>
              </w:rPr>
              <w:t>8.5.</w:t>
            </w:r>
            <w:r>
              <w:rPr>
                <w:rFonts w:hint="eastAsia" w:ascii="宋体" w:hAnsi="宋体" w:cs="Arial"/>
                <w:color w:val="auto"/>
                <w:sz w:val="21"/>
                <w:szCs w:val="21"/>
                <w:lang w:val="en-US" w:eastAsia="zh-CN"/>
              </w:rPr>
              <w:t>6</w:t>
            </w:r>
          </w:p>
        </w:tc>
        <w:tc>
          <w:tcPr>
            <w:tcW w:w="732"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基础设施</w:t>
            </w:r>
          </w:p>
        </w:tc>
        <w:tc>
          <w:tcPr>
            <w:tcW w:w="965" w:type="dxa"/>
            <w:vAlign w:val="top"/>
          </w:tcPr>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r>
              <w:rPr>
                <w:rFonts w:hint="eastAsia" w:ascii="Times New Roman" w:hAnsi="Times New Roman" w:cs="Times New Roman"/>
                <w:szCs w:val="22"/>
                <w:highlight w:val="none"/>
              </w:rPr>
              <w:t xml:space="preserve">Q7.1.3 </w:t>
            </w:r>
          </w:p>
          <w:p>
            <w:pPr>
              <w:rPr>
                <w:rFonts w:hint="default" w:ascii="Times New Roman" w:hAnsi="Times New Roman" w:cs="Times New Roman"/>
                <w:szCs w:val="22"/>
                <w:highlight w:val="none"/>
                <w:lang w:val="en-US" w:eastAsia="zh-CN"/>
              </w:rPr>
            </w:pPr>
          </w:p>
          <w:p>
            <w:pPr>
              <w:rPr>
                <w:rFonts w:hint="eastAsia" w:ascii="Times New Roman" w:hAnsi="Times New Roman" w:cs="Times New Roman"/>
                <w:szCs w:val="22"/>
                <w:highlight w:val="none"/>
                <w:lang w:val="en-US" w:eastAsia="zh-CN"/>
              </w:rPr>
            </w:pPr>
          </w:p>
        </w:tc>
        <w:tc>
          <w:tcPr>
            <w:tcW w:w="10927" w:type="dxa"/>
            <w:vAlign w:val="top"/>
          </w:tcPr>
          <w:p>
            <w:pPr>
              <w:spacing w:line="360" w:lineRule="auto"/>
              <w:rPr>
                <w:rFonts w:hint="default"/>
              </w:rPr>
            </w:pPr>
            <w:r>
              <w:rPr>
                <w:rFonts w:hint="default"/>
              </w:rPr>
              <w:t>查《生产设备台帐》，主要生产设备有F11160A型万能分度头、砂轮机、万能分斗头、油介质标准表法流量装置、流量校验装置、耐电压测试仪、高低温试验箱、兆欧表、手动试压泵等，能够满足生产符合要求产品的需要。</w:t>
            </w:r>
          </w:p>
          <w:p>
            <w:pPr>
              <w:spacing w:line="360" w:lineRule="auto"/>
              <w:rPr>
                <w:rFonts w:hint="default"/>
              </w:rPr>
            </w:pPr>
            <w:r>
              <w:rPr>
                <w:rFonts w:hint="default"/>
              </w:rPr>
              <w:t>提供油介质标准表法流量装置、流量校验装置、耐电压测试仪、高低温试验箱、兆欧表、动试压泵、内径百分表、游标卡尺、指针式温湿度表、数显卡尺、千分尺、压力表、螺纹塞规等等设备“设备维护保养记录”，其显示了设备名称、保养项目、保养时间、保养人等。</w:t>
            </w:r>
          </w:p>
          <w:p>
            <w:pPr>
              <w:spacing w:line="360" w:lineRule="auto"/>
              <w:rPr>
                <w:rFonts w:hint="default"/>
              </w:rPr>
            </w:pPr>
            <w:r>
              <w:rPr>
                <w:rFonts w:hint="default"/>
              </w:rPr>
              <w:t>制定有“生产设备检修计划”，内容有设备名称、检修时间、检修内容、检修人，提供了设备检修记录，记录清晰，写明了维修内容、维修人等内容，满足策划要求。</w:t>
            </w:r>
          </w:p>
          <w:p>
            <w:pPr>
              <w:spacing w:line="360" w:lineRule="auto"/>
              <w:rPr>
                <w:rFonts w:hint="default" w:ascii="Times New Roman" w:hAnsi="Times New Roman" w:cs="Times New Roman"/>
                <w:kern w:val="2"/>
                <w:sz w:val="21"/>
                <w:szCs w:val="22"/>
                <w:lang w:val="en-US" w:eastAsia="zh-CN" w:bidi="ar-SA"/>
              </w:rPr>
            </w:pPr>
            <w:r>
              <w:rPr>
                <w:rFonts w:hint="eastAsia"/>
                <w:lang w:val="en-US" w:eastAsia="zh-CN"/>
              </w:rPr>
              <w:t>查无</w:t>
            </w:r>
            <w:r>
              <w:rPr>
                <w:rFonts w:hint="default"/>
              </w:rPr>
              <w:t>特种设备</w:t>
            </w:r>
            <w:r>
              <w:rPr>
                <w:rFonts w:hint="eastAsia"/>
                <w:lang w:eastAsia="zh-CN"/>
              </w:rPr>
              <w:t>。</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rPr>
              <w:t>过程运行环境</w:t>
            </w:r>
          </w:p>
        </w:tc>
        <w:tc>
          <w:tcPr>
            <w:tcW w:w="965" w:type="dxa"/>
            <w:vAlign w:val="top"/>
          </w:tcPr>
          <w:p>
            <w:pPr>
              <w:rPr>
                <w:rFonts w:hint="eastAsia" w:ascii="Times New Roman" w:hAnsi="Times New Roman" w:cs="Times New Roman"/>
                <w:szCs w:val="22"/>
                <w:highlight w:val="none"/>
              </w:rPr>
            </w:pPr>
            <w:r>
              <w:rPr>
                <w:rFonts w:hint="eastAsia" w:ascii="Times New Roman" w:hAnsi="Times New Roman" w:cs="Times New Roman"/>
                <w:szCs w:val="22"/>
                <w:highlight w:val="none"/>
              </w:rPr>
              <w:t>Q</w:t>
            </w:r>
            <w:r>
              <w:rPr>
                <w:rFonts w:hint="default" w:ascii="Times New Roman" w:hAnsi="Times New Roman" w:cs="Times New Roman"/>
                <w:szCs w:val="22"/>
                <w:highlight w:val="none"/>
              </w:rPr>
              <w:t>7.1.</w:t>
            </w:r>
            <w:r>
              <w:rPr>
                <w:rFonts w:hint="eastAsia" w:ascii="Times New Roman" w:hAnsi="Times New Roman" w:cs="Times New Roman"/>
                <w:szCs w:val="22"/>
                <w:highlight w:val="none"/>
                <w:lang w:val="en-US" w:eastAsia="zh-CN"/>
              </w:rPr>
              <w:t>4</w:t>
            </w: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rPr>
            </w:pPr>
          </w:p>
          <w:p>
            <w:pPr>
              <w:rPr>
                <w:rFonts w:hint="eastAsia" w:ascii="Times New Roman" w:hAnsi="Times New Roman" w:cs="Times New Roman"/>
                <w:szCs w:val="22"/>
                <w:highlight w:val="none"/>
                <w:lang w:val="en-US" w:eastAsia="zh-CN"/>
              </w:rPr>
            </w:pPr>
          </w:p>
        </w:tc>
        <w:tc>
          <w:tcPr>
            <w:tcW w:w="10927" w:type="dxa"/>
            <w:vAlign w:val="top"/>
          </w:tcPr>
          <w:p>
            <w:pPr>
              <w:spacing w:line="360" w:lineRule="auto"/>
              <w:rPr>
                <w:rFonts w:hint="default"/>
              </w:rPr>
            </w:pPr>
            <w:r>
              <w:rPr>
                <w:rFonts w:hint="default"/>
              </w:rPr>
              <w:t>生产车间占地面积近800平米，1个车间。车间内各种规格、型号产品摆放整齐，工序间工位器具设置较合理。车间宽敞明亮，干净整洁，通道畅通。工人每日工作前，仔细检查设备防护情况。车间工人在工作前及工作结束后能够及时清理环境及设备。</w:t>
            </w:r>
          </w:p>
          <w:p>
            <w:pPr>
              <w:spacing w:line="360" w:lineRule="auto"/>
              <w:rPr>
                <w:rFonts w:hint="default"/>
              </w:rPr>
            </w:pPr>
            <w:r>
              <w:rPr>
                <w:rFonts w:hint="default"/>
              </w:rPr>
              <w:t>现场车间有灭火器8台，并在有效期内。</w:t>
            </w:r>
          </w:p>
          <w:p>
            <w:pPr>
              <w:spacing w:line="360" w:lineRule="auto"/>
              <w:rPr>
                <w:rFonts w:hint="default"/>
              </w:rPr>
            </w:pPr>
            <w:r>
              <w:rPr>
                <w:rFonts w:hint="default"/>
              </w:rPr>
              <w:t>工作环境得到良好的控制。</w:t>
            </w:r>
          </w:p>
          <w:p>
            <w:pPr>
              <w:spacing w:line="360" w:lineRule="auto"/>
              <w:rPr>
                <w:rFonts w:hint="default"/>
                <w:lang w:val="en-US" w:eastAsia="zh-CN"/>
              </w:rPr>
            </w:pPr>
          </w:p>
          <w:p>
            <w:pPr>
              <w:pStyle w:val="2"/>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3619500</wp:posOffset>
                  </wp:positionH>
                  <wp:positionV relativeFrom="paragraph">
                    <wp:posOffset>35560</wp:posOffset>
                  </wp:positionV>
                  <wp:extent cx="2745105" cy="2058670"/>
                  <wp:effectExtent l="0" t="0" r="10795" b="11430"/>
                  <wp:wrapNone/>
                  <wp:docPr id="9" name="图片 9" descr="081840d54dd984798010493de5478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81840d54dd984798010493de5478f3"/>
                          <pic:cNvPicPr>
                            <a:picLocks noChangeAspect="1"/>
                          </pic:cNvPicPr>
                        </pic:nvPicPr>
                        <pic:blipFill>
                          <a:blip r:embed="rId6"/>
                          <a:stretch>
                            <a:fillRect/>
                          </a:stretch>
                        </pic:blipFill>
                        <pic:spPr>
                          <a:xfrm>
                            <a:off x="0" y="0"/>
                            <a:ext cx="2745105" cy="205867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88900</wp:posOffset>
                  </wp:positionV>
                  <wp:extent cx="2626360" cy="1970405"/>
                  <wp:effectExtent l="0" t="0" r="2540" b="10795"/>
                  <wp:wrapNone/>
                  <wp:docPr id="8" name="图片 8" descr="86485c4c1afd117f47228b3a27b1a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6485c4c1afd117f47228b3a27b1a45"/>
                          <pic:cNvPicPr>
                            <a:picLocks noChangeAspect="1"/>
                          </pic:cNvPicPr>
                        </pic:nvPicPr>
                        <pic:blipFill>
                          <a:blip r:embed="rId7"/>
                          <a:stretch>
                            <a:fillRect/>
                          </a:stretch>
                        </pic:blipFill>
                        <pic:spPr>
                          <a:xfrm>
                            <a:off x="0" y="0"/>
                            <a:ext cx="2626360" cy="1970405"/>
                          </a:xfrm>
                          <a:prstGeom prst="rect">
                            <a:avLst/>
                          </a:prstGeom>
                        </pic:spPr>
                      </pic:pic>
                    </a:graphicData>
                  </a:graphic>
                </wp:anchor>
              </w:drawing>
            </w: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r>
              <w:rPr>
                <w:rFonts w:hint="default"/>
                <w:lang w:val="en-US" w:eastAsia="zh-CN"/>
              </w:rPr>
              <w:drawing>
                <wp:anchor distT="0" distB="0" distL="114300" distR="114300" simplePos="0" relativeHeight="251662336" behindDoc="0" locked="0" layoutInCell="1" allowOverlap="1">
                  <wp:simplePos x="0" y="0"/>
                  <wp:positionH relativeFrom="column">
                    <wp:posOffset>3606800</wp:posOffset>
                  </wp:positionH>
                  <wp:positionV relativeFrom="paragraph">
                    <wp:posOffset>60960</wp:posOffset>
                  </wp:positionV>
                  <wp:extent cx="2857500" cy="2143760"/>
                  <wp:effectExtent l="0" t="0" r="0" b="2540"/>
                  <wp:wrapNone/>
                  <wp:docPr id="11" name="图片 11" descr="83ac637eedd750e91552c7f78bbbf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3ac637eedd750e91552c7f78bbbfba"/>
                          <pic:cNvPicPr>
                            <a:picLocks noChangeAspect="1"/>
                          </pic:cNvPicPr>
                        </pic:nvPicPr>
                        <pic:blipFill>
                          <a:blip r:embed="rId8"/>
                          <a:stretch>
                            <a:fillRect/>
                          </a:stretch>
                        </pic:blipFill>
                        <pic:spPr>
                          <a:xfrm>
                            <a:off x="0" y="0"/>
                            <a:ext cx="2857500" cy="2143760"/>
                          </a:xfrm>
                          <a:prstGeom prst="rect">
                            <a:avLst/>
                          </a:prstGeom>
                        </pic:spPr>
                      </pic:pic>
                    </a:graphicData>
                  </a:graphic>
                </wp:anchor>
              </w:drawing>
            </w:r>
            <w:r>
              <w:rPr>
                <w:rFonts w:hint="default"/>
                <w:lang w:val="en-US"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54610</wp:posOffset>
                  </wp:positionV>
                  <wp:extent cx="2813685" cy="2110740"/>
                  <wp:effectExtent l="0" t="0" r="5715" b="10160"/>
                  <wp:wrapNone/>
                  <wp:docPr id="10" name="图片 10" descr="c578244a6b47719bba00f6df3f63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578244a6b47719bba00f6df3f6390c"/>
                          <pic:cNvPicPr>
                            <a:picLocks noChangeAspect="1"/>
                          </pic:cNvPicPr>
                        </pic:nvPicPr>
                        <pic:blipFill>
                          <a:blip r:embed="rId9"/>
                          <a:stretch>
                            <a:fillRect/>
                          </a:stretch>
                        </pic:blipFill>
                        <pic:spPr>
                          <a:xfrm>
                            <a:off x="0" y="0"/>
                            <a:ext cx="2813685" cy="2110740"/>
                          </a:xfrm>
                          <a:prstGeom prst="rect">
                            <a:avLst/>
                          </a:prstGeom>
                        </pic:spPr>
                      </pic:pic>
                    </a:graphicData>
                  </a:graphic>
                </wp:anchor>
              </w:drawing>
            </w: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p>
            <w:pPr>
              <w:pStyle w:val="3"/>
              <w:rPr>
                <w:rFonts w:hint="default" w:ascii="Times New Roman" w:hAnsi="Times New Roman" w:cs="Times New Roman"/>
                <w:szCs w:val="22"/>
                <w:highlight w:val="none"/>
                <w:lang w:val="en-US" w:eastAsia="zh-CN"/>
              </w:rPr>
            </w:pP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spacing w:line="360" w:lineRule="auto"/>
              <w:ind w:firstLine="420" w:firstLineChars="200"/>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标识和可追溯性</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Q8.5.2</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查看库房，产品标识：采用“物料标识卡”进行标识，卡上注明“名称”“进厂日期”“规格”“数量”等内容。</w:t>
            </w:r>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查原料库，库房划分了不同材料区，分区明显，各种物料摆放整齐，标识清晰。</w:t>
            </w:r>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查产品标志、使用说明等相关内容：成品表面印有产品名称、规格型号、生产日期、批号等标识。</w:t>
            </w:r>
          </w:p>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追溯性：根据产品标签——生产日期、批号，可满足追溯要求。</w:t>
            </w:r>
          </w:p>
        </w:tc>
        <w:tc>
          <w:tcPr>
            <w:tcW w:w="732" w:type="dxa"/>
          </w:tcPr>
          <w:p>
            <w:pPr>
              <w:spacing w:line="320" w:lineRule="exact"/>
              <w:rPr>
                <w:rFonts w:hint="default"/>
                <w:lang w:val="en-US" w:eastAsia="zh-CN"/>
              </w:rPr>
            </w:pPr>
            <w:r>
              <w:rPr>
                <w:rFonts w:hint="eastAsia"/>
                <w:lang w:val="en-US" w:eastAsia="zh-CN"/>
              </w:rPr>
              <w:t>OK</w:t>
            </w: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173"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防护</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Q8.5.4</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该公司产品无特殊防护要求，主要防护要求为防磕碰，产品在搬运过程中采取机械和人工搬运，避免磕碰。成品一般无需包装，码放整齐，分门别类存放于成品库内。</w:t>
            </w:r>
          </w:p>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贮存环境：贮存材料、成品的仓库清洁，干燥，防护措施得当，满足要求。有专门的库管员进行保管，出入库登记手续齐全，管理比较规范。</w:t>
            </w:r>
          </w:p>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有消防器材——灭火器，能够有效的对产品进行防护措施。</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73" w:type="dxa"/>
            <w:vAlign w:val="center"/>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交付后的活动</w:t>
            </w:r>
          </w:p>
        </w:tc>
        <w:tc>
          <w:tcPr>
            <w:tcW w:w="965" w:type="dxa"/>
            <w:vAlign w:val="top"/>
          </w:tcPr>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lang w:eastAsia="zh-CN"/>
              </w:rPr>
              <w:t xml:space="preserve">8.5.5 </w:t>
            </w:r>
          </w:p>
        </w:tc>
        <w:tc>
          <w:tcPr>
            <w:tcW w:w="10927" w:type="dxa"/>
            <w:vAlign w:val="center"/>
          </w:tcPr>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与客户业务负责人进行沟通：组织通过与客户签订合同的形式对交付后的活动进行规定；内容包括了：法律法规要求，交付后不合格的处理，产品的用途，顾客的要求等；</w:t>
            </w:r>
          </w:p>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暂无交付后违反法律法规要求、违法合同要求、严重客户投诉的情况，据负责人介绍如以后有会收到客户投诉通过邮件或者会议将信息传递给相关过程/部门。</w:t>
            </w:r>
          </w:p>
          <w:p>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eastAsia="zh-TW"/>
              </w:rPr>
              <w:t xml:space="preserve"> 基本满足要求。</w:t>
            </w:r>
          </w:p>
        </w:tc>
        <w:tc>
          <w:tcPr>
            <w:tcW w:w="732"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spacing w:line="360" w:lineRule="auto"/>
              <w:jc w:val="both"/>
              <w:rPr>
                <w:rFonts w:hint="eastAsia" w:ascii="Times New Roman" w:hAnsi="Times New Roman" w:cs="Times New Roman"/>
                <w:szCs w:val="22"/>
                <w:lang w:val="en-US" w:eastAsia="zh-CN"/>
              </w:rPr>
            </w:pPr>
            <w:r>
              <w:rPr>
                <w:rFonts w:hint="eastAsia" w:ascii="Times New Roman" w:hAnsi="Times New Roman" w:cs="Times New Roman"/>
                <w:szCs w:val="22"/>
                <w:lang w:eastAsia="zh-TW"/>
              </w:rPr>
              <w:t>变更控制</w:t>
            </w:r>
          </w:p>
        </w:tc>
        <w:tc>
          <w:tcPr>
            <w:tcW w:w="965" w:type="dxa"/>
            <w:vAlign w:val="center"/>
          </w:tcPr>
          <w:p>
            <w:pPr>
              <w:spacing w:line="360" w:lineRule="auto"/>
              <w:jc w:val="both"/>
              <w:rPr>
                <w:rFonts w:hint="eastAsia" w:ascii="Times New Roman" w:hAnsi="Times New Roman" w:cs="Times New Roman"/>
                <w:szCs w:val="22"/>
                <w:lang w:val="en-US" w:eastAsia="zh-CN"/>
              </w:rPr>
            </w:pPr>
            <w:r>
              <w:rPr>
                <w:rFonts w:hint="default" w:ascii="Times New Roman" w:hAnsi="Times New Roman" w:cs="Times New Roman"/>
                <w:szCs w:val="22"/>
                <w:lang w:eastAsia="zh-TW"/>
              </w:rPr>
              <w:t>Q8.5.6</w:t>
            </w:r>
          </w:p>
        </w:tc>
        <w:tc>
          <w:tcPr>
            <w:tcW w:w="10927" w:type="dxa"/>
            <w:vAlign w:val="center"/>
          </w:tcPr>
          <w:p>
            <w:pPr>
              <w:spacing w:line="360" w:lineRule="auto"/>
              <w:jc w:val="both"/>
              <w:rPr>
                <w:rFonts w:hint="default" w:ascii="Times New Roman" w:hAnsi="Times New Roman" w:cs="Times New Roman"/>
                <w:szCs w:val="22"/>
                <w:lang w:eastAsia="zh-TW"/>
              </w:rPr>
            </w:pPr>
            <w:r>
              <w:rPr>
                <w:rFonts w:hint="default" w:ascii="Times New Roman" w:hAnsi="Times New Roman" w:cs="Times New Roman"/>
                <w:szCs w:val="22"/>
                <w:lang w:eastAsia="zh-TW"/>
              </w:rPr>
              <w:t>查变更的控制：</w:t>
            </w:r>
          </w:p>
          <w:p>
            <w:pPr>
              <w:spacing w:line="360" w:lineRule="auto"/>
              <w:jc w:val="both"/>
              <w:rPr>
                <w:rFonts w:hint="default" w:ascii="Times New Roman" w:hAnsi="Times New Roman" w:cs="Times New Roman"/>
                <w:szCs w:val="22"/>
                <w:lang w:val="en-US" w:eastAsia="zh-CN"/>
              </w:rPr>
            </w:pPr>
            <w:r>
              <w:rPr>
                <w:rFonts w:hint="default" w:ascii="Times New Roman" w:hAnsi="Times New Roman" w:cs="Times New Roman"/>
                <w:szCs w:val="22"/>
                <w:lang w:eastAsia="zh-TW"/>
              </w:rPr>
              <w:t>经与</w:t>
            </w:r>
            <w:r>
              <w:rPr>
                <w:rFonts w:hint="eastAsia" w:cs="Times New Roman"/>
                <w:szCs w:val="22"/>
                <w:lang w:eastAsia="zh-CN"/>
              </w:rPr>
              <w:t>生产部</w:t>
            </w:r>
            <w:r>
              <w:rPr>
                <w:rFonts w:hint="default" w:ascii="Times New Roman" w:hAnsi="Times New Roman" w:cs="Times New Roman"/>
                <w:szCs w:val="22"/>
                <w:lang w:eastAsia="zh-TW"/>
              </w:rPr>
              <w:t>门沟通，销售合同评审后，按合同要求进行生产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732" w:type="dxa"/>
          </w:tcPr>
          <w:p>
            <w:pPr>
              <w:spacing w:line="320" w:lineRule="exact"/>
              <w:rPr>
                <w:rFonts w:hint="default"/>
                <w:lang w:val="en-US" w:eastAsia="zh-CN"/>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3" w:type="dxa"/>
            <w:vAlign w:val="center"/>
          </w:tcPr>
          <w:p>
            <w:pPr>
              <w:spacing w:line="360" w:lineRule="auto"/>
              <w:rPr>
                <w:rFonts w:hint="eastAsia" w:ascii="Times New Roman" w:hAnsi="Times New Roman" w:cs="Times New Roman"/>
                <w:szCs w:val="22"/>
                <w:lang w:eastAsia="zh-TW"/>
              </w:rPr>
            </w:pPr>
            <w:r>
              <w:rPr>
                <w:rFonts w:hint="default" w:ascii="Times New Roman" w:hAnsi="Times New Roman" w:eastAsia="宋体" w:cs="Times New Roman"/>
                <w:sz w:val="21"/>
                <w:szCs w:val="21"/>
              </w:rPr>
              <w:t>产品和服务的设计和开发</w:t>
            </w:r>
          </w:p>
        </w:tc>
        <w:tc>
          <w:tcPr>
            <w:tcW w:w="965" w:type="dxa"/>
            <w:vAlign w:val="center"/>
          </w:tcPr>
          <w:p>
            <w:pPr>
              <w:spacing w:line="360" w:lineRule="auto"/>
              <w:rPr>
                <w:rFonts w:hint="default" w:ascii="Times New Roman" w:hAnsi="Times New Roman" w:cs="Times New Roman"/>
                <w:szCs w:val="22"/>
                <w:lang w:eastAsia="zh-TW"/>
              </w:rPr>
            </w:pPr>
            <w:r>
              <w:rPr>
                <w:rFonts w:hint="default" w:ascii="Times New Roman" w:hAnsi="Times New Roman" w:eastAsia="宋体" w:cs="Times New Roman"/>
                <w:sz w:val="21"/>
                <w:szCs w:val="21"/>
              </w:rPr>
              <w:t>8.3</w:t>
            </w:r>
          </w:p>
        </w:tc>
        <w:tc>
          <w:tcPr>
            <w:tcW w:w="10927" w:type="dxa"/>
            <w:vAlign w:val="center"/>
          </w:tcPr>
          <w:p>
            <w:pPr>
              <w:spacing w:line="360" w:lineRule="auto"/>
              <w:rPr>
                <w:rFonts w:hint="default" w:ascii="Times New Roman" w:hAnsi="Times New Roman" w:cs="Times New Roman"/>
                <w:szCs w:val="22"/>
                <w:lang w:eastAsia="zh-TW"/>
              </w:rPr>
            </w:pPr>
            <w:r>
              <w:rPr>
                <w:rFonts w:hint="default" w:ascii="Times New Roman" w:hAnsi="Times New Roman" w:eastAsia="宋体" w:cs="Times New Roman"/>
                <w:sz w:val="21"/>
                <w:szCs w:val="21"/>
              </w:rPr>
              <w:t>企业涉及螺旋（双）转子流量计、普通电磁流量计、楔形流量计、三转子流量计、指示型转子流量计、螺旋单转子流量计、智能控制注水仪、金属刮板流量计、旋进漩涡气体流量计、质量流量计的生产及销售依据顾客、国家和行业标准生产，不适用故GB/T19001-2016标准中8.3“产品和服务的设计和开发”条款的要求。不影响组织确保其产品和服务合格的能力或责任，对增强顾客满意也不会产生影响。</w:t>
            </w:r>
            <w:bookmarkStart w:id="0" w:name="_GoBack"/>
            <w:bookmarkEnd w:id="0"/>
          </w:p>
        </w:tc>
        <w:tc>
          <w:tcPr>
            <w:tcW w:w="732" w:type="dxa"/>
          </w:tcPr>
          <w:p>
            <w:pPr>
              <w:rPr>
                <w:rFonts w:hint="eastAsia" w:asciiTheme="minorEastAsia" w:hAnsiTheme="minorEastAsia" w:eastAsiaTheme="minorEastAsia" w:cstheme="minorEastAsia"/>
                <w:sz w:val="21"/>
                <w:szCs w:val="21"/>
              </w:rPr>
            </w:pPr>
          </w:p>
        </w:tc>
      </w:tr>
    </w:tbl>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left" w:pos="8910"/>
        <w:tab w:val="left" w:pos="9142"/>
        <w:tab w:val="clear" w:pos="4153"/>
      </w:tabs>
      <w:spacing w:line="320" w:lineRule="exact"/>
      <w:ind w:left="-86" w:leftChars="-41" w:firstLine="810" w:firstLineChars="450"/>
      <w:jc w:val="left"/>
      <w:rPr>
        <w:rStyle w:val="25"/>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5"/>
        <w:rFonts w:hint="default"/>
      </w:rPr>
      <w:t>北京国标联合认证有限公司</w:t>
    </w:r>
    <w:r>
      <w:rPr>
        <w:rStyle w:val="25"/>
        <w:rFonts w:hint="default"/>
      </w:rPr>
      <w:tab/>
    </w:r>
    <w:r>
      <w:rPr>
        <w:rStyle w:val="25"/>
        <w:rFonts w:hint="default"/>
      </w:rPr>
      <w:tab/>
    </w:r>
    <w:r>
      <w:rPr>
        <w:rStyle w:val="25"/>
        <w:rFonts w:hint="default"/>
      </w:rPr>
      <w:tab/>
    </w:r>
  </w:p>
  <w:p>
    <w:pPr>
      <w:pStyle w:val="14"/>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5"/>
        <w:rFonts w:hint="default"/>
        <w:w w:val="90"/>
      </w:rPr>
      <w:t>Beijing International Standard united Certification Co.,Ltd.</w:t>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92DEA"/>
    <w:multiLevelType w:val="multilevel"/>
    <w:tmpl w:val="0DB92DEA"/>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425" w:hanging="425"/>
      </w:pPr>
      <w:rPr>
        <w:rFonts w:hint="default" w:ascii="Calibri" w:hAnsi="Calibri" w:cs="Calibri"/>
        <w:sz w:val="32"/>
        <w:szCs w:val="32"/>
      </w:rPr>
    </w:lvl>
    <w:lvl w:ilvl="2" w:tentative="0">
      <w:start w:val="1"/>
      <w:numFmt w:val="decimal"/>
      <w:pStyle w:val="4"/>
      <w:suff w:val="space"/>
      <w:lvlText w:val="%1.%2.%3"/>
      <w:lvlJc w:val="left"/>
      <w:pPr>
        <w:ind w:left="567" w:hanging="567"/>
      </w:pPr>
      <w:rPr>
        <w:rFonts w:hint="eastAsia"/>
      </w:rPr>
    </w:lvl>
    <w:lvl w:ilvl="3" w:tentative="0">
      <w:start w:val="1"/>
      <w:numFmt w:val="decimal"/>
      <w:suff w:val="space"/>
      <w:lvlText w:val="%1.%2.%3.%4"/>
      <w:lvlJc w:val="left"/>
      <w:pPr>
        <w:ind w:left="1418" w:hanging="567"/>
      </w:pPr>
      <w:rPr>
        <w:rFonts w:hint="eastAsia"/>
        <w:b/>
      </w:rPr>
    </w:lvl>
    <w:lvl w:ilvl="4" w:tentative="0">
      <w:start w:val="1"/>
      <w:numFmt w:val="decimal"/>
      <w:suff w:val="space"/>
      <w:lvlText w:val="%1.%2.%3.%4.%5"/>
      <w:lvlJc w:val="left"/>
      <w:pPr>
        <w:ind w:left="2835" w:hanging="709"/>
      </w:pPr>
      <w:rPr>
        <w:rFonts w:hint="eastAsia"/>
      </w:rPr>
    </w:lvl>
    <w:lvl w:ilvl="5" w:tentative="0">
      <w:start w:val="1"/>
      <w:numFmt w:val="decimal"/>
      <w:suff w:val="space"/>
      <w:lvlText w:val="%1.%2.%3.%4.%5.%6"/>
      <w:lvlJc w:val="left"/>
      <w:pPr>
        <w:ind w:left="2693" w:hanging="992"/>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3905"/>
    <w:rsid w:val="007B3DAF"/>
    <w:rsid w:val="00DB72B2"/>
    <w:rsid w:val="00ED266B"/>
    <w:rsid w:val="00F43426"/>
    <w:rsid w:val="00F72ABE"/>
    <w:rsid w:val="010F4C60"/>
    <w:rsid w:val="01E3771F"/>
    <w:rsid w:val="024F1167"/>
    <w:rsid w:val="027A5C11"/>
    <w:rsid w:val="02B74B3F"/>
    <w:rsid w:val="03124185"/>
    <w:rsid w:val="03314A7D"/>
    <w:rsid w:val="03833B24"/>
    <w:rsid w:val="03971E0B"/>
    <w:rsid w:val="03BF4DF3"/>
    <w:rsid w:val="03F42EED"/>
    <w:rsid w:val="04476F14"/>
    <w:rsid w:val="0458744E"/>
    <w:rsid w:val="050D203E"/>
    <w:rsid w:val="050F7AD6"/>
    <w:rsid w:val="0515091E"/>
    <w:rsid w:val="056F513E"/>
    <w:rsid w:val="05F12FC1"/>
    <w:rsid w:val="06276BA1"/>
    <w:rsid w:val="062B104D"/>
    <w:rsid w:val="071E0BD8"/>
    <w:rsid w:val="071E5396"/>
    <w:rsid w:val="07252F75"/>
    <w:rsid w:val="07511AB9"/>
    <w:rsid w:val="077168B6"/>
    <w:rsid w:val="07760118"/>
    <w:rsid w:val="07DD4098"/>
    <w:rsid w:val="08151499"/>
    <w:rsid w:val="08193D3A"/>
    <w:rsid w:val="085F30D4"/>
    <w:rsid w:val="0872572E"/>
    <w:rsid w:val="0875081F"/>
    <w:rsid w:val="08870786"/>
    <w:rsid w:val="08F215E2"/>
    <w:rsid w:val="09296E07"/>
    <w:rsid w:val="09B01C49"/>
    <w:rsid w:val="09E31136"/>
    <w:rsid w:val="09EB1CAA"/>
    <w:rsid w:val="0A165B13"/>
    <w:rsid w:val="0A226B2B"/>
    <w:rsid w:val="0A7372D5"/>
    <w:rsid w:val="0AAD3E63"/>
    <w:rsid w:val="0ABE51AD"/>
    <w:rsid w:val="0B063520"/>
    <w:rsid w:val="0B2B563D"/>
    <w:rsid w:val="0B59105B"/>
    <w:rsid w:val="0BED6A15"/>
    <w:rsid w:val="0C1A06B5"/>
    <w:rsid w:val="0C361B65"/>
    <w:rsid w:val="0C3B40FC"/>
    <w:rsid w:val="0CE5132C"/>
    <w:rsid w:val="0D0518EE"/>
    <w:rsid w:val="0D086F79"/>
    <w:rsid w:val="0D444194"/>
    <w:rsid w:val="0D4B347F"/>
    <w:rsid w:val="0D570C8A"/>
    <w:rsid w:val="0DDC4A26"/>
    <w:rsid w:val="0E04283D"/>
    <w:rsid w:val="0F033D06"/>
    <w:rsid w:val="0F9C26D4"/>
    <w:rsid w:val="10146BF1"/>
    <w:rsid w:val="104F6DAF"/>
    <w:rsid w:val="107D501B"/>
    <w:rsid w:val="10B27CAD"/>
    <w:rsid w:val="11273C0B"/>
    <w:rsid w:val="115D74E2"/>
    <w:rsid w:val="1174748E"/>
    <w:rsid w:val="11915D99"/>
    <w:rsid w:val="11BF2D07"/>
    <w:rsid w:val="11EC7CB4"/>
    <w:rsid w:val="120C44D2"/>
    <w:rsid w:val="121C34B5"/>
    <w:rsid w:val="121E46A7"/>
    <w:rsid w:val="122956EF"/>
    <w:rsid w:val="125C12A9"/>
    <w:rsid w:val="12BD2DF2"/>
    <w:rsid w:val="130F1D4C"/>
    <w:rsid w:val="134C3D0E"/>
    <w:rsid w:val="138C3317"/>
    <w:rsid w:val="13A84DED"/>
    <w:rsid w:val="13B66175"/>
    <w:rsid w:val="13ED22A6"/>
    <w:rsid w:val="13FB79B0"/>
    <w:rsid w:val="14013214"/>
    <w:rsid w:val="140B4438"/>
    <w:rsid w:val="14496629"/>
    <w:rsid w:val="1492636B"/>
    <w:rsid w:val="14A062F4"/>
    <w:rsid w:val="154636A6"/>
    <w:rsid w:val="15EB6EEA"/>
    <w:rsid w:val="163D703F"/>
    <w:rsid w:val="16A82BF8"/>
    <w:rsid w:val="16D67ED2"/>
    <w:rsid w:val="16E26F0E"/>
    <w:rsid w:val="16F02E90"/>
    <w:rsid w:val="17062B69"/>
    <w:rsid w:val="175C0D34"/>
    <w:rsid w:val="17961FEA"/>
    <w:rsid w:val="17F81885"/>
    <w:rsid w:val="182164BB"/>
    <w:rsid w:val="18252AF6"/>
    <w:rsid w:val="188972CF"/>
    <w:rsid w:val="18B52196"/>
    <w:rsid w:val="18B95C0D"/>
    <w:rsid w:val="18D068A4"/>
    <w:rsid w:val="18EC7DF4"/>
    <w:rsid w:val="19122210"/>
    <w:rsid w:val="194A1301"/>
    <w:rsid w:val="195576C8"/>
    <w:rsid w:val="19BB3A05"/>
    <w:rsid w:val="19CA1922"/>
    <w:rsid w:val="19CA6AEA"/>
    <w:rsid w:val="1A4A1F1B"/>
    <w:rsid w:val="1AB22DB0"/>
    <w:rsid w:val="1ABC3B36"/>
    <w:rsid w:val="1ADB6CEB"/>
    <w:rsid w:val="1B04548A"/>
    <w:rsid w:val="1B2A4A36"/>
    <w:rsid w:val="1B3A1DD3"/>
    <w:rsid w:val="1BEE6C7E"/>
    <w:rsid w:val="1C4D73A6"/>
    <w:rsid w:val="1C7B7059"/>
    <w:rsid w:val="1C984EA9"/>
    <w:rsid w:val="1CF54D0D"/>
    <w:rsid w:val="1D173593"/>
    <w:rsid w:val="1D5510E6"/>
    <w:rsid w:val="1D8927A9"/>
    <w:rsid w:val="1D8A0989"/>
    <w:rsid w:val="1DAA697C"/>
    <w:rsid w:val="1DBC259A"/>
    <w:rsid w:val="1DFA356D"/>
    <w:rsid w:val="1DFC4614"/>
    <w:rsid w:val="1E57661E"/>
    <w:rsid w:val="1E8D2F4B"/>
    <w:rsid w:val="1ECA6098"/>
    <w:rsid w:val="1F5A25AA"/>
    <w:rsid w:val="1F87166B"/>
    <w:rsid w:val="1FE4312C"/>
    <w:rsid w:val="20093412"/>
    <w:rsid w:val="20221AB6"/>
    <w:rsid w:val="20641CD2"/>
    <w:rsid w:val="206D5617"/>
    <w:rsid w:val="207E2925"/>
    <w:rsid w:val="20905714"/>
    <w:rsid w:val="209C2F82"/>
    <w:rsid w:val="20D87DD3"/>
    <w:rsid w:val="21333CB9"/>
    <w:rsid w:val="215B5EE3"/>
    <w:rsid w:val="2170552A"/>
    <w:rsid w:val="21725EAA"/>
    <w:rsid w:val="21BD1856"/>
    <w:rsid w:val="21F775B6"/>
    <w:rsid w:val="21FE778F"/>
    <w:rsid w:val="22035D26"/>
    <w:rsid w:val="222511D3"/>
    <w:rsid w:val="222A7E1E"/>
    <w:rsid w:val="22A33E3D"/>
    <w:rsid w:val="237E5759"/>
    <w:rsid w:val="23C53F61"/>
    <w:rsid w:val="24AF1061"/>
    <w:rsid w:val="2528193B"/>
    <w:rsid w:val="2538482F"/>
    <w:rsid w:val="25444A65"/>
    <w:rsid w:val="255B2849"/>
    <w:rsid w:val="264941D1"/>
    <w:rsid w:val="26703415"/>
    <w:rsid w:val="268F7A4C"/>
    <w:rsid w:val="26A21C12"/>
    <w:rsid w:val="26B137CD"/>
    <w:rsid w:val="26E32CAC"/>
    <w:rsid w:val="27416481"/>
    <w:rsid w:val="27512300"/>
    <w:rsid w:val="27556201"/>
    <w:rsid w:val="276F23A0"/>
    <w:rsid w:val="277F67AF"/>
    <w:rsid w:val="27C231BC"/>
    <w:rsid w:val="280C386E"/>
    <w:rsid w:val="283C5AAF"/>
    <w:rsid w:val="289C3C6D"/>
    <w:rsid w:val="28AC6FA1"/>
    <w:rsid w:val="28AD7F2A"/>
    <w:rsid w:val="290772D8"/>
    <w:rsid w:val="29526A59"/>
    <w:rsid w:val="29991719"/>
    <w:rsid w:val="29DB75AB"/>
    <w:rsid w:val="2A0F693C"/>
    <w:rsid w:val="2A4B79CF"/>
    <w:rsid w:val="2A583BDC"/>
    <w:rsid w:val="2B0C4BC4"/>
    <w:rsid w:val="2B846F6E"/>
    <w:rsid w:val="2BDE2DFD"/>
    <w:rsid w:val="2C1F26D0"/>
    <w:rsid w:val="2C3D292E"/>
    <w:rsid w:val="2C477944"/>
    <w:rsid w:val="2C681735"/>
    <w:rsid w:val="2CB46FDB"/>
    <w:rsid w:val="2CDD7B70"/>
    <w:rsid w:val="2DA54E89"/>
    <w:rsid w:val="2DFB27B7"/>
    <w:rsid w:val="2E2A0988"/>
    <w:rsid w:val="2EA773C5"/>
    <w:rsid w:val="2ED42FAB"/>
    <w:rsid w:val="2F366741"/>
    <w:rsid w:val="31CE1739"/>
    <w:rsid w:val="325B5177"/>
    <w:rsid w:val="32625B19"/>
    <w:rsid w:val="32F96D37"/>
    <w:rsid w:val="32FA5B66"/>
    <w:rsid w:val="33077788"/>
    <w:rsid w:val="3350581F"/>
    <w:rsid w:val="33672B89"/>
    <w:rsid w:val="33803AE5"/>
    <w:rsid w:val="33DA419B"/>
    <w:rsid w:val="33E7097A"/>
    <w:rsid w:val="340D5819"/>
    <w:rsid w:val="34823E1A"/>
    <w:rsid w:val="34C2320E"/>
    <w:rsid w:val="34FD6C4E"/>
    <w:rsid w:val="35027C4E"/>
    <w:rsid w:val="351F01B0"/>
    <w:rsid w:val="357F7BE6"/>
    <w:rsid w:val="359E5DA6"/>
    <w:rsid w:val="35E05158"/>
    <w:rsid w:val="35FD6528"/>
    <w:rsid w:val="3603329E"/>
    <w:rsid w:val="36292E46"/>
    <w:rsid w:val="36721D93"/>
    <w:rsid w:val="36C67F48"/>
    <w:rsid w:val="36FE6ED4"/>
    <w:rsid w:val="370C0EF6"/>
    <w:rsid w:val="370E2444"/>
    <w:rsid w:val="37A03B9A"/>
    <w:rsid w:val="37DF01D1"/>
    <w:rsid w:val="38871868"/>
    <w:rsid w:val="38C773A4"/>
    <w:rsid w:val="38D65753"/>
    <w:rsid w:val="39021D3D"/>
    <w:rsid w:val="39245C50"/>
    <w:rsid w:val="395C4DB9"/>
    <w:rsid w:val="39622AB9"/>
    <w:rsid w:val="39824704"/>
    <w:rsid w:val="39A15878"/>
    <w:rsid w:val="39AD5135"/>
    <w:rsid w:val="39F545FE"/>
    <w:rsid w:val="3A730B2A"/>
    <w:rsid w:val="3A7733B5"/>
    <w:rsid w:val="3A8F42DA"/>
    <w:rsid w:val="3ACC739E"/>
    <w:rsid w:val="3AF251B7"/>
    <w:rsid w:val="3AFD3559"/>
    <w:rsid w:val="3B085560"/>
    <w:rsid w:val="3B1825C5"/>
    <w:rsid w:val="3B320E51"/>
    <w:rsid w:val="3B7D75F6"/>
    <w:rsid w:val="3B8023A1"/>
    <w:rsid w:val="3B8519B2"/>
    <w:rsid w:val="3B874061"/>
    <w:rsid w:val="3C676135"/>
    <w:rsid w:val="3CB60938"/>
    <w:rsid w:val="3CEC76B7"/>
    <w:rsid w:val="3D0E3869"/>
    <w:rsid w:val="3D372831"/>
    <w:rsid w:val="3D586B1B"/>
    <w:rsid w:val="3D7B7F26"/>
    <w:rsid w:val="3E200911"/>
    <w:rsid w:val="3EB82705"/>
    <w:rsid w:val="3EC5675F"/>
    <w:rsid w:val="3F767015"/>
    <w:rsid w:val="3FA7773D"/>
    <w:rsid w:val="3FEA161B"/>
    <w:rsid w:val="40543EF5"/>
    <w:rsid w:val="40596711"/>
    <w:rsid w:val="405F7DF3"/>
    <w:rsid w:val="408A5C74"/>
    <w:rsid w:val="40CC02CC"/>
    <w:rsid w:val="40D031F2"/>
    <w:rsid w:val="40D83E9F"/>
    <w:rsid w:val="40E4142D"/>
    <w:rsid w:val="40F362A8"/>
    <w:rsid w:val="41736CE5"/>
    <w:rsid w:val="41982DB7"/>
    <w:rsid w:val="419D4385"/>
    <w:rsid w:val="420F0402"/>
    <w:rsid w:val="42261EF7"/>
    <w:rsid w:val="43126C97"/>
    <w:rsid w:val="431E0008"/>
    <w:rsid w:val="434D13B2"/>
    <w:rsid w:val="437753D5"/>
    <w:rsid w:val="43B70C81"/>
    <w:rsid w:val="44292AD4"/>
    <w:rsid w:val="4469254F"/>
    <w:rsid w:val="44B27C2A"/>
    <w:rsid w:val="451A3510"/>
    <w:rsid w:val="45394FD3"/>
    <w:rsid w:val="46300AAA"/>
    <w:rsid w:val="463E3A7E"/>
    <w:rsid w:val="469B1CAE"/>
    <w:rsid w:val="46AE5FF3"/>
    <w:rsid w:val="47192EA5"/>
    <w:rsid w:val="474D75E2"/>
    <w:rsid w:val="48150E11"/>
    <w:rsid w:val="48212EC4"/>
    <w:rsid w:val="4862186A"/>
    <w:rsid w:val="48A91119"/>
    <w:rsid w:val="48B614A6"/>
    <w:rsid w:val="48CB5056"/>
    <w:rsid w:val="49370AB5"/>
    <w:rsid w:val="4A0C4B1D"/>
    <w:rsid w:val="4B031B7A"/>
    <w:rsid w:val="4BA4167F"/>
    <w:rsid w:val="4BF806A6"/>
    <w:rsid w:val="4C540BEC"/>
    <w:rsid w:val="4C6427BD"/>
    <w:rsid w:val="4C8D6CF7"/>
    <w:rsid w:val="4CE66527"/>
    <w:rsid w:val="4D221E11"/>
    <w:rsid w:val="4D271D07"/>
    <w:rsid w:val="4D4D6563"/>
    <w:rsid w:val="4D7719FF"/>
    <w:rsid w:val="4DC95573"/>
    <w:rsid w:val="4E230FE8"/>
    <w:rsid w:val="4E3C6E2B"/>
    <w:rsid w:val="4E3E4E22"/>
    <w:rsid w:val="4E4832CD"/>
    <w:rsid w:val="4E835676"/>
    <w:rsid w:val="4F0F48AA"/>
    <w:rsid w:val="4F8326B0"/>
    <w:rsid w:val="4FB9214A"/>
    <w:rsid w:val="4FC5339D"/>
    <w:rsid w:val="4FC66683"/>
    <w:rsid w:val="4FCE6C6A"/>
    <w:rsid w:val="4FD23DCD"/>
    <w:rsid w:val="4FE20E43"/>
    <w:rsid w:val="500B41C6"/>
    <w:rsid w:val="50243E54"/>
    <w:rsid w:val="50425DAA"/>
    <w:rsid w:val="50A713CB"/>
    <w:rsid w:val="513405CC"/>
    <w:rsid w:val="513813F3"/>
    <w:rsid w:val="515A41FC"/>
    <w:rsid w:val="517921CD"/>
    <w:rsid w:val="519B1D3C"/>
    <w:rsid w:val="524D2A61"/>
    <w:rsid w:val="527E73EA"/>
    <w:rsid w:val="52802927"/>
    <w:rsid w:val="528E5686"/>
    <w:rsid w:val="53604C26"/>
    <w:rsid w:val="543904D4"/>
    <w:rsid w:val="54431A0E"/>
    <w:rsid w:val="54552B6D"/>
    <w:rsid w:val="54914C1C"/>
    <w:rsid w:val="54D44AC7"/>
    <w:rsid w:val="54E376C1"/>
    <w:rsid w:val="553F67DC"/>
    <w:rsid w:val="55CE15C1"/>
    <w:rsid w:val="56112655"/>
    <w:rsid w:val="564B5EE6"/>
    <w:rsid w:val="56665918"/>
    <w:rsid w:val="56A42262"/>
    <w:rsid w:val="56B90A6D"/>
    <w:rsid w:val="5711455E"/>
    <w:rsid w:val="57134D7D"/>
    <w:rsid w:val="573A638F"/>
    <w:rsid w:val="57644048"/>
    <w:rsid w:val="57802FAE"/>
    <w:rsid w:val="57B9702B"/>
    <w:rsid w:val="57D07126"/>
    <w:rsid w:val="58260B9B"/>
    <w:rsid w:val="58500DD6"/>
    <w:rsid w:val="5855243C"/>
    <w:rsid w:val="585D3DF0"/>
    <w:rsid w:val="58746F33"/>
    <w:rsid w:val="58CF6491"/>
    <w:rsid w:val="58D108AE"/>
    <w:rsid w:val="58D25A73"/>
    <w:rsid w:val="58D54B9A"/>
    <w:rsid w:val="593C5129"/>
    <w:rsid w:val="59BE02C8"/>
    <w:rsid w:val="59D624CA"/>
    <w:rsid w:val="5A493ED1"/>
    <w:rsid w:val="5A4A3433"/>
    <w:rsid w:val="5AA804F6"/>
    <w:rsid w:val="5B0B47FB"/>
    <w:rsid w:val="5B4B0AC3"/>
    <w:rsid w:val="5B4F64F7"/>
    <w:rsid w:val="5CA0213D"/>
    <w:rsid w:val="5D156FA2"/>
    <w:rsid w:val="5D551BFA"/>
    <w:rsid w:val="5D595304"/>
    <w:rsid w:val="5D6E0C63"/>
    <w:rsid w:val="5DC900D8"/>
    <w:rsid w:val="5DE977F8"/>
    <w:rsid w:val="5F0F1DD3"/>
    <w:rsid w:val="5F207068"/>
    <w:rsid w:val="5F760B65"/>
    <w:rsid w:val="5FA27792"/>
    <w:rsid w:val="5FF35C58"/>
    <w:rsid w:val="60364859"/>
    <w:rsid w:val="603C0D48"/>
    <w:rsid w:val="605F13F0"/>
    <w:rsid w:val="608A1A55"/>
    <w:rsid w:val="60A1719B"/>
    <w:rsid w:val="60E107EC"/>
    <w:rsid w:val="60E35500"/>
    <w:rsid w:val="6121278F"/>
    <w:rsid w:val="612625AA"/>
    <w:rsid w:val="6148542E"/>
    <w:rsid w:val="61817E3C"/>
    <w:rsid w:val="620F6776"/>
    <w:rsid w:val="62367E65"/>
    <w:rsid w:val="624038C5"/>
    <w:rsid w:val="625A0EC2"/>
    <w:rsid w:val="6265623A"/>
    <w:rsid w:val="628F111D"/>
    <w:rsid w:val="629E1DFA"/>
    <w:rsid w:val="62A86D2A"/>
    <w:rsid w:val="62B23D75"/>
    <w:rsid w:val="62E0271D"/>
    <w:rsid w:val="62EB5301"/>
    <w:rsid w:val="632C14AF"/>
    <w:rsid w:val="63570BD2"/>
    <w:rsid w:val="6376327D"/>
    <w:rsid w:val="63E65CAD"/>
    <w:rsid w:val="644205E4"/>
    <w:rsid w:val="644D1DFE"/>
    <w:rsid w:val="64B96887"/>
    <w:rsid w:val="65364107"/>
    <w:rsid w:val="65DC4836"/>
    <w:rsid w:val="65DF3879"/>
    <w:rsid w:val="661357A0"/>
    <w:rsid w:val="663917B9"/>
    <w:rsid w:val="663D1963"/>
    <w:rsid w:val="667A086C"/>
    <w:rsid w:val="66F23DA0"/>
    <w:rsid w:val="67591F27"/>
    <w:rsid w:val="67BF5964"/>
    <w:rsid w:val="67ED0162"/>
    <w:rsid w:val="680C1D11"/>
    <w:rsid w:val="68675294"/>
    <w:rsid w:val="688A2780"/>
    <w:rsid w:val="689E3E83"/>
    <w:rsid w:val="68ED24C0"/>
    <w:rsid w:val="691F79AD"/>
    <w:rsid w:val="698334C9"/>
    <w:rsid w:val="6A1C1366"/>
    <w:rsid w:val="6AEB0406"/>
    <w:rsid w:val="6B1662A0"/>
    <w:rsid w:val="6B324C90"/>
    <w:rsid w:val="6BDD3E6C"/>
    <w:rsid w:val="6C075B40"/>
    <w:rsid w:val="6C9A762A"/>
    <w:rsid w:val="6CC64A9C"/>
    <w:rsid w:val="6D3D73A6"/>
    <w:rsid w:val="6DB55520"/>
    <w:rsid w:val="6DF50BC4"/>
    <w:rsid w:val="6E32632A"/>
    <w:rsid w:val="6E42063C"/>
    <w:rsid w:val="6E7B0286"/>
    <w:rsid w:val="6E83674B"/>
    <w:rsid w:val="6F81410E"/>
    <w:rsid w:val="6FB920DF"/>
    <w:rsid w:val="6FCA1424"/>
    <w:rsid w:val="70222ADB"/>
    <w:rsid w:val="70323211"/>
    <w:rsid w:val="70F30AB6"/>
    <w:rsid w:val="71277622"/>
    <w:rsid w:val="716B506C"/>
    <w:rsid w:val="71805FEF"/>
    <w:rsid w:val="71840341"/>
    <w:rsid w:val="71C8773D"/>
    <w:rsid w:val="71E940A1"/>
    <w:rsid w:val="7263165D"/>
    <w:rsid w:val="72F8265E"/>
    <w:rsid w:val="73235F29"/>
    <w:rsid w:val="73A823EF"/>
    <w:rsid w:val="74775FC0"/>
    <w:rsid w:val="749414A1"/>
    <w:rsid w:val="75D37D0F"/>
    <w:rsid w:val="76084588"/>
    <w:rsid w:val="76890FEF"/>
    <w:rsid w:val="76B83908"/>
    <w:rsid w:val="76EA4765"/>
    <w:rsid w:val="77197ED0"/>
    <w:rsid w:val="77392219"/>
    <w:rsid w:val="77AB14FD"/>
    <w:rsid w:val="785D08BC"/>
    <w:rsid w:val="78624DA5"/>
    <w:rsid w:val="78773C75"/>
    <w:rsid w:val="78AB0C68"/>
    <w:rsid w:val="78E328E5"/>
    <w:rsid w:val="79046A88"/>
    <w:rsid w:val="79130FEA"/>
    <w:rsid w:val="79662E86"/>
    <w:rsid w:val="79EA0D2A"/>
    <w:rsid w:val="7A2141E3"/>
    <w:rsid w:val="7A33156C"/>
    <w:rsid w:val="7AC27882"/>
    <w:rsid w:val="7AF83AAC"/>
    <w:rsid w:val="7B011597"/>
    <w:rsid w:val="7B0638C4"/>
    <w:rsid w:val="7B0924ED"/>
    <w:rsid w:val="7B2075DD"/>
    <w:rsid w:val="7B2A00C7"/>
    <w:rsid w:val="7B5D5082"/>
    <w:rsid w:val="7BD16A01"/>
    <w:rsid w:val="7C3F1BA4"/>
    <w:rsid w:val="7CAA70EF"/>
    <w:rsid w:val="7CD32026"/>
    <w:rsid w:val="7CEB71BA"/>
    <w:rsid w:val="7D0C7B91"/>
    <w:rsid w:val="7D9C7A9A"/>
    <w:rsid w:val="7DD06F88"/>
    <w:rsid w:val="7DE85FE7"/>
    <w:rsid w:val="7ED21CB4"/>
    <w:rsid w:val="7EF239C6"/>
    <w:rsid w:val="7F806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4">
    <w:name w:val="heading 3"/>
    <w:basedOn w:val="5"/>
    <w:next w:val="5"/>
    <w:qFormat/>
    <w:uiPriority w:val="0"/>
    <w:pPr>
      <w:keepNext/>
      <w:keepLines/>
      <w:numPr>
        <w:ilvl w:val="2"/>
        <w:numId w:val="1"/>
      </w:numPr>
      <w:spacing w:before="260" w:after="260" w:line="416" w:lineRule="auto"/>
      <w:ind w:leftChars="0"/>
      <w:outlineLvl w:val="2"/>
    </w:pPr>
    <w:rPr>
      <w:b/>
      <w:bCs/>
      <w:kern w:val="0"/>
      <w:sz w:val="30"/>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Block Text"/>
    <w:basedOn w:val="1"/>
    <w:unhideWhenUsed/>
    <w:qFormat/>
    <w:uiPriority w:val="99"/>
    <w:pPr>
      <w:spacing w:after="120" w:afterLines="0" w:afterAutospacing="0"/>
      <w:ind w:left="1440" w:leftChars="700" w:rightChars="700"/>
    </w:pPr>
  </w:style>
  <w:style w:type="paragraph" w:styleId="6">
    <w:name w:val="Body Text"/>
    <w:basedOn w:val="1"/>
    <w:next w:val="7"/>
    <w:qFormat/>
    <w:uiPriority w:val="1"/>
    <w:rPr>
      <w:rFonts w:ascii="宋体" w:hAnsi="宋体" w:eastAsia="宋体" w:cs="宋体"/>
      <w:sz w:val="24"/>
      <w:szCs w:val="24"/>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semiHidden/>
    <w:unhideWhenUsed/>
    <w:qFormat/>
    <w:uiPriority w:val="99"/>
    <w:pPr>
      <w:spacing w:after="120"/>
      <w:ind w:left="420" w:leftChars="200"/>
    </w:pPr>
  </w:style>
  <w:style w:type="paragraph" w:styleId="11">
    <w:name w:val="Plain Text"/>
    <w:basedOn w:val="1"/>
    <w:qFormat/>
    <w:uiPriority w:val="0"/>
    <w:rPr>
      <w:rFonts w:ascii="宋体" w:hAnsi="Courier New" w:eastAsiaTheme="minorEastAsia" w:cstheme="minorBidi"/>
    </w:rPr>
  </w:style>
  <w:style w:type="paragraph" w:styleId="12">
    <w:name w:val="Balloon Text"/>
    <w:basedOn w:val="1"/>
    <w:link w:val="24"/>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after="120" w:line="480" w:lineRule="auto"/>
    </w:pPr>
    <w:rPr>
      <w:rFonts w:asciiTheme="minorHAnsi" w:hAnsiTheme="minorHAnsi" w:eastAsiaTheme="minorEastAsia" w:cstheme="minorBidi"/>
    </w:rPr>
  </w:style>
  <w:style w:type="paragraph" w:styleId="16">
    <w:name w:val="Body Text First Indent"/>
    <w:basedOn w:val="6"/>
    <w:unhideWhenUsed/>
    <w:qFormat/>
    <w:uiPriority w:val="99"/>
    <w:pPr>
      <w:spacing w:before="100" w:beforeAutospacing="1"/>
      <w:ind w:firstLine="420" w:firstLineChars="100"/>
    </w:pPr>
  </w:style>
  <w:style w:type="paragraph" w:styleId="17">
    <w:name w:val="Body Text First Indent 2"/>
    <w:basedOn w:val="10"/>
    <w:unhideWhenUsed/>
    <w:qFormat/>
    <w:uiPriority w:val="99"/>
    <w:pPr>
      <w:ind w:firstLine="420" w:firstLineChars="200"/>
    </w:pPr>
    <w:rPr>
      <w:szCs w:val="24"/>
    </w:rPr>
  </w:style>
  <w:style w:type="character" w:styleId="20">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21">
    <w:name w:val="表格文字"/>
    <w:basedOn w:val="1"/>
    <w:qFormat/>
    <w:uiPriority w:val="99"/>
    <w:pPr>
      <w:spacing w:before="25" w:after="25"/>
    </w:pPr>
    <w:rPr>
      <w:bCs/>
      <w:spacing w:val="10"/>
    </w:rPr>
  </w:style>
  <w:style w:type="character" w:customStyle="1" w:styleId="22">
    <w:name w:val="页眉 Char"/>
    <w:basedOn w:val="19"/>
    <w:link w:val="14"/>
    <w:qFormat/>
    <w:uiPriority w:val="99"/>
    <w:rPr>
      <w:rFonts w:ascii="Times New Roman" w:hAnsi="Times New Roman" w:eastAsia="宋体" w:cs="Times New Roman"/>
      <w:sz w:val="18"/>
      <w:szCs w:val="18"/>
    </w:rPr>
  </w:style>
  <w:style w:type="character" w:customStyle="1" w:styleId="23">
    <w:name w:val="页脚 Char"/>
    <w:basedOn w:val="19"/>
    <w:link w:val="13"/>
    <w:qFormat/>
    <w:uiPriority w:val="99"/>
    <w:rPr>
      <w:rFonts w:ascii="Times New Roman" w:hAnsi="Times New Roman" w:eastAsia="宋体" w:cs="Times New Roman"/>
      <w:sz w:val="18"/>
      <w:szCs w:val="18"/>
    </w:rPr>
  </w:style>
  <w:style w:type="character" w:customStyle="1" w:styleId="24">
    <w:name w:val="批注框文本 Char"/>
    <w:basedOn w:val="19"/>
    <w:link w:val="12"/>
    <w:semiHidden/>
    <w:qFormat/>
    <w:uiPriority w:val="99"/>
    <w:rPr>
      <w:rFonts w:ascii="Times New Roman" w:hAnsi="Times New Roman" w:eastAsia="宋体" w:cs="Times New Roman"/>
      <w:sz w:val="18"/>
      <w:szCs w:val="18"/>
    </w:rPr>
  </w:style>
  <w:style w:type="character" w:customStyle="1" w:styleId="25">
    <w:name w:val="Char Char1"/>
    <w:qFormat/>
    <w:locked/>
    <w:uiPriority w:val="0"/>
    <w:rPr>
      <w:rFonts w:hint="eastAsia" w:ascii="宋体" w:hAnsi="Courier New" w:eastAsia="宋体"/>
      <w:kern w:val="2"/>
      <w:sz w:val="21"/>
      <w:lang w:val="en-US" w:eastAsia="zh-CN" w:bidi="ar-SA"/>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27</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2021-05-27T00:25:02Z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8539D104894148F990DDC01B15D931BF</vt:lpwstr>
  </property>
</Properties>
</file>