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办公室/财务部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杨秧秧</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冯勇</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8</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default" w:ascii="宋体" w:hAnsi="宋体" w:eastAsia="宋体" w:cs="Arial"/>
                <w:color w:val="auto"/>
                <w:spacing w:val="-6"/>
                <w:sz w:val="21"/>
                <w:szCs w:val="21"/>
                <w:lang w:val="en-US" w:eastAsia="zh-CN"/>
              </w:rPr>
            </w:pPr>
            <w:r>
              <w:rPr>
                <w:rFonts w:hint="eastAsia"/>
                <w:sz w:val="24"/>
                <w:szCs w:val="24"/>
              </w:rPr>
              <w:t>审核条款</w:t>
            </w:r>
            <w:r>
              <w:rPr>
                <w:rFonts w:hint="eastAsia" w:ascii="宋体" w:hAnsi="宋体" w:cs="Arial"/>
                <w:color w:val="auto"/>
                <w:sz w:val="21"/>
                <w:szCs w:val="21"/>
                <w:lang w:val="en-US" w:eastAsia="zh-CN"/>
              </w:rPr>
              <w:t>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spacing w:line="360" w:lineRule="auto"/>
              <w:ind w:right="105" w:rightChars="50"/>
              <w:textAlignment w:val="baseline"/>
              <w:rPr>
                <w:sz w:val="24"/>
                <w:szCs w:val="24"/>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6.1.3、6.1.4、6.2.1、6.2.2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环境因素识别及控制措施</w:t>
            </w:r>
          </w:p>
        </w:tc>
        <w:tc>
          <w:tcPr>
            <w:tcW w:w="998" w:type="dxa"/>
            <w:vAlign w:val="top"/>
          </w:tcPr>
          <w:p>
            <w:pPr>
              <w:spacing w:line="36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 w:val="21"/>
                <w:szCs w:val="21"/>
                <w:highlight w:val="none"/>
                <w:lang w:val="en-US" w:eastAsia="zh-CN"/>
              </w:rPr>
              <w:t>E:6.1.4</w:t>
            </w:r>
          </w:p>
        </w:tc>
        <w:tc>
          <w:tcPr>
            <w:tcW w:w="10004"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》、《风险和机遇的应对措施控制程序》等程序，按照相关程序执行。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w:t>
            </w:r>
            <w:r>
              <w:rPr>
                <w:rFonts w:hint="eastAsia" w:ascii="宋体" w:hAnsi="宋体" w:cs="宋体"/>
                <w:szCs w:val="21"/>
                <w:lang w:eastAsia="zh-CN"/>
              </w:rPr>
              <w:t>螺旋（双）转子流量计、普通电磁流量计、楔形流量计、三转子流量计、指示型转子流量计、螺旋单转子流量计、智能控制注水仪、金属刮板流量计、旋进漩涡气体流量计、质量流量计的生产及销售</w:t>
            </w:r>
            <w:r>
              <w:rPr>
                <w:rFonts w:hint="eastAsia" w:ascii="宋体" w:hAnsi="宋体" w:cs="宋体"/>
                <w:szCs w:val="21"/>
              </w:rPr>
              <w:t>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cs="宋体"/>
                <w:szCs w:val="21"/>
                <w:lang w:val="en-US" w:eastAsia="zh-CN"/>
              </w:rPr>
              <w:t>生活垃圾的排放、纸箱、包装物的废弃物、电灯产生的废弃物等；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w:t>
            </w:r>
            <w:r>
              <w:rPr>
                <w:rFonts w:hint="eastAsia"/>
                <w:sz w:val="21"/>
                <w:szCs w:val="21"/>
              </w:rPr>
              <w:t>资源能源消耗、固体废弃物排放、噪声排放、火灾的发生，评价准确。</w:t>
            </w:r>
          </w:p>
          <w:p>
            <w:pPr>
              <w:pStyle w:val="15"/>
              <w:spacing w:line="360" w:lineRule="auto"/>
              <w:rPr>
                <w:rFonts w:ascii="宋体" w:hAnsi="宋体" w:cs="宋体"/>
                <w:szCs w:val="21"/>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1585" w:type="dxa"/>
            <w:vAlign w:val="top"/>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法律法规和其他要求和合规性评价</w:t>
            </w:r>
          </w:p>
        </w:tc>
        <w:tc>
          <w:tcPr>
            <w:tcW w:w="998"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6.1.3</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9.1.2</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p>
        </w:tc>
        <w:tc>
          <w:tcPr>
            <w:tcW w:w="10004" w:type="dxa"/>
            <w:vAlign w:val="top"/>
          </w:tcPr>
          <w:p>
            <w:pPr>
              <w:spacing w:line="360" w:lineRule="auto"/>
              <w:rPr>
                <w:rFonts w:hint="eastAsia"/>
                <w:lang w:val="en-US" w:eastAsia="zh-CN"/>
              </w:rPr>
            </w:pPr>
            <w:r>
              <w:rPr>
                <w:rFonts w:hint="eastAsia"/>
              </w:rPr>
              <w:t>有</w:t>
            </w:r>
            <w:r>
              <w:rPr>
                <w:rFonts w:hint="eastAsia"/>
                <w:lang w:eastAsia="zh-CN"/>
              </w:rPr>
              <w:t>《</w:t>
            </w:r>
            <w:r>
              <w:rPr>
                <w:rFonts w:hint="eastAsia"/>
              </w:rPr>
              <w:t>法律法规及其他要求控制程序</w:t>
            </w:r>
            <w:r>
              <w:rPr>
                <w:rFonts w:hint="eastAsia"/>
                <w:lang w:eastAsia="zh-CN"/>
              </w:rPr>
              <w:t>》</w:t>
            </w:r>
            <w:r>
              <w:rPr>
                <w:rFonts w:hint="eastAsia"/>
              </w:rPr>
              <w:t>、</w:t>
            </w:r>
            <w:r>
              <w:rPr>
                <w:rFonts w:hint="eastAsia"/>
                <w:lang w:eastAsia="zh-CN"/>
              </w:rPr>
              <w:t>《</w:t>
            </w:r>
            <w:r>
              <w:rPr>
                <w:rFonts w:hint="eastAsia"/>
              </w:rPr>
              <w:t>合规性评价控制程序</w:t>
            </w:r>
            <w:r>
              <w:rPr>
                <w:rFonts w:hint="eastAsia"/>
                <w:lang w:eastAsia="zh-CN"/>
              </w:rPr>
              <w:t>》</w:t>
            </w:r>
            <w:r>
              <w:rPr>
                <w:rFonts w:hint="eastAsia"/>
                <w:lang w:val="en-US" w:eastAsia="zh-CN"/>
              </w:rPr>
              <w:t>等，</w:t>
            </w:r>
          </w:p>
          <w:p>
            <w:pPr>
              <w:spacing w:line="360" w:lineRule="auto"/>
              <w:rPr>
                <w:rFonts w:hint="eastAsia"/>
              </w:rPr>
            </w:pPr>
            <w:r>
              <w:rPr>
                <w:rFonts w:hint="eastAsia"/>
              </w:rPr>
              <w:t>提供公司适用的法律法规及要求清单，主要有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GB/T19001-2016《质量管理体系 要求》、GB/T24001-2016《环境管理体系 要求及使用指南》、GB/T28001-2011《职业健康安全管理体系 要求》及相关产品标准</w:t>
            </w:r>
          </w:p>
          <w:p>
            <w:pPr>
              <w:spacing w:line="360" w:lineRule="auto"/>
              <w:rPr>
                <w:rFonts w:hint="eastAsia"/>
              </w:rPr>
            </w:pPr>
            <w:r>
              <w:rPr>
                <w:rFonts w:hint="eastAsia"/>
              </w:rPr>
              <w:t>产品执行的标准：</w:t>
            </w:r>
          </w:p>
          <w:p>
            <w:pPr>
              <w:spacing w:line="360" w:lineRule="auto"/>
              <w:jc w:val="left"/>
              <w:rPr>
                <w:rFonts w:hint="eastAsia"/>
              </w:rPr>
            </w:pPr>
            <w:r>
              <w:rPr>
                <w:rFonts w:hint="eastAsia"/>
              </w:rPr>
              <w:t>管道式电磁流量计在线校准要求CJ/T 364-2011、湿式气体流量计DB50/T 541-2014、封闭管道中气体流量的测量 涡轮流量计GB/T 18940-2003、封闭管道中流体流量的测量 热式质量流量计GB/T 20727-2006、流体流量测量 流量计性能表述方法GB/T 22133-2008、智能气体流量计GB/T 28848-2012、基于HART协议的电磁流量计通用技术条件GB/T 29815-2013、基于HART协议的质量流量计通用技术条件GB/T 29818-2013、科里奥利质量流量计GB/T 31130-2014、气体流量计GB/T 32201-2015、气体旋进旋涡流量计GB/T 36241-2018、螺旋双转子流量计JB/T 13391-2018、涡街流量计JB/T 9249-2015、流量计量名词术语及定义JJF 1004-2004、质量流量计检定规程JJG (石化) 001-1995、涡轮流量计检定规程JJG 1037-2008、三转子流量计Q/SXXL007-2015、双转子流量计Q/SXXL005-2015</w:t>
            </w:r>
            <w:r>
              <w:rPr>
                <w:rFonts w:hint="eastAsia"/>
                <w:lang w:eastAsia="zh-CN"/>
              </w:rPr>
              <w:t>、</w:t>
            </w:r>
            <w:r>
              <w:rPr>
                <w:rFonts w:hint="eastAsia"/>
              </w:rPr>
              <w:t>《商品经营服务质量管理规范》GB/T16868-2009等；</w:t>
            </w:r>
          </w:p>
          <w:p>
            <w:pPr>
              <w:spacing w:line="360" w:lineRule="auto"/>
              <w:ind w:left="360"/>
              <w:rPr>
                <w:rFonts w:hint="eastAsia"/>
              </w:rPr>
            </w:pPr>
            <w:r>
              <w:rPr>
                <w:rFonts w:hint="eastAsia"/>
              </w:rPr>
              <w:t>获取方式：网上查录或购买，经查阅为现行有效版本，目前满足体系运行需要。</w:t>
            </w:r>
          </w:p>
          <w:p>
            <w:pPr>
              <w:spacing w:line="360" w:lineRule="auto"/>
              <w:rPr>
                <w:rFonts w:hint="eastAsia"/>
                <w:sz w:val="21"/>
                <w:szCs w:val="21"/>
              </w:rPr>
            </w:pPr>
            <w:r>
              <w:rPr>
                <w:rFonts w:hint="eastAsia"/>
                <w:sz w:val="21"/>
                <w:szCs w:val="21"/>
              </w:rPr>
              <w:t>查合规性评价：20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5</w:t>
            </w:r>
            <w:r>
              <w:rPr>
                <w:rFonts w:hint="eastAsia"/>
                <w:sz w:val="21"/>
                <w:szCs w:val="21"/>
              </w:rPr>
              <w:t>日进行合规性评价，提供了《合规性评价表》，内容包括：活动场所/产品/服务、重要环境因素、不可接受风险、现有控制措施、适用的法律法规及其对应条款、符合性评价等。</w:t>
            </w:r>
          </w:p>
          <w:p>
            <w:pPr>
              <w:spacing w:line="360" w:lineRule="auto"/>
              <w:rPr>
                <w:rFonts w:hint="eastAsia"/>
                <w:sz w:val="21"/>
                <w:szCs w:val="21"/>
              </w:rPr>
            </w:pPr>
            <w:r>
              <w:rPr>
                <w:rFonts w:hint="eastAsia"/>
                <w:sz w:val="21"/>
                <w:szCs w:val="21"/>
              </w:rPr>
              <w:t>评价了相关的法律法规，涉及火灾、固废排放、资源消耗、机械伤害、触电等</w:t>
            </w:r>
          </w:p>
          <w:p>
            <w:pPr>
              <w:spacing w:line="360" w:lineRule="auto"/>
              <w:rPr>
                <w:rFonts w:hint="eastAsia"/>
                <w:sz w:val="21"/>
                <w:szCs w:val="21"/>
              </w:rPr>
            </w:pPr>
            <w:r>
              <w:rPr>
                <w:rFonts w:hint="eastAsia"/>
                <w:sz w:val="21"/>
                <w:szCs w:val="21"/>
              </w:rPr>
              <w:t>评价结果：公司能够按照有关法律法规、公司文</w:t>
            </w:r>
            <w:bookmarkStart w:id="0" w:name="_GoBack"/>
            <w:bookmarkEnd w:id="0"/>
            <w:r>
              <w:rPr>
                <w:rFonts w:hint="eastAsia"/>
                <w:sz w:val="21"/>
                <w:szCs w:val="21"/>
              </w:rPr>
              <w:t>件进行控制、检查，能够遵守国家、地方的法律法规，合规性评价符合要求。</w:t>
            </w:r>
          </w:p>
          <w:p>
            <w:pPr>
              <w:spacing w:line="360" w:lineRule="auto"/>
              <w:rPr>
                <w:rFonts w:hint="eastAsia" w:eastAsia="宋体"/>
                <w:sz w:val="21"/>
                <w:szCs w:val="21"/>
                <w:lang w:val="en-US" w:eastAsia="zh-CN"/>
              </w:rPr>
            </w:pPr>
            <w:r>
              <w:rPr>
                <w:rFonts w:hint="eastAsia"/>
                <w:sz w:val="21"/>
                <w:szCs w:val="21"/>
              </w:rPr>
              <w:t>批准/日期：</w:t>
            </w:r>
            <w:r>
              <w:rPr>
                <w:rFonts w:hint="eastAsia"/>
                <w:sz w:val="21"/>
                <w:szCs w:val="21"/>
                <w:lang w:eastAsia="zh-CN"/>
              </w:rPr>
              <w:t>赵新时</w:t>
            </w:r>
            <w:r>
              <w:rPr>
                <w:rFonts w:hint="eastAsia"/>
                <w:sz w:val="21"/>
                <w:szCs w:val="21"/>
              </w:rPr>
              <w:t xml:space="preserve"> 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5</w:t>
            </w:r>
          </w:p>
          <w:p>
            <w:pPr>
              <w:pStyle w:val="2"/>
              <w:spacing w:line="360" w:lineRule="auto"/>
            </w:pPr>
            <w:r>
              <w:rPr>
                <w:rFonts w:hint="eastAsia" w:ascii="方正仿宋简体" w:hAnsi="Times New Roman" w:eastAsia="方正仿宋简体" w:cs="Times New Roman"/>
                <w:b/>
                <w:sz w:val="21"/>
                <w:szCs w:val="21"/>
                <w:lang w:val="en-US" w:eastAsia="zh-CN"/>
              </w:rPr>
              <w:t>查提供的《法律法规和其他要求清单》中漏识别《</w:t>
            </w:r>
            <w:r>
              <w:rPr>
                <w:rFonts w:hint="default" w:ascii="方正仿宋简体" w:hAnsi="Times New Roman" w:eastAsia="方正仿宋简体" w:cs="Times New Roman"/>
                <w:b/>
                <w:sz w:val="21"/>
                <w:szCs w:val="21"/>
                <w:lang w:val="en-US" w:eastAsia="zh-CN"/>
              </w:rPr>
              <w:t>智能气体流量计</w:t>
            </w:r>
            <w:r>
              <w:rPr>
                <w:rFonts w:hint="eastAsia" w:ascii="方正仿宋简体" w:hAnsi="Times New Roman" w:eastAsia="方正仿宋简体" w:cs="Times New Roman"/>
                <w:b/>
                <w:sz w:val="21"/>
                <w:szCs w:val="21"/>
                <w:lang w:val="en-US" w:eastAsia="zh-CN"/>
              </w:rPr>
              <w:t>》GB/T 28848-2012《中华人民共和国环境保护法》、《中华人民共和国消防法》。</w:t>
            </w:r>
          </w:p>
        </w:tc>
        <w:tc>
          <w:tcPr>
            <w:tcW w:w="1585" w:type="dxa"/>
            <w:vAlign w:val="top"/>
          </w:tcPr>
          <w:p>
            <w:pPr>
              <w:spacing w:line="360" w:lineRule="auto"/>
              <w:rPr>
                <w:rFonts w:hint="eastAsia"/>
              </w:rPr>
            </w:pPr>
            <w:r>
              <w:rPr>
                <w:rFonts w:hint="eastAsia"/>
              </w:rPr>
              <w:t>Y</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p>
            <w:pPr>
              <w:spacing w:line="360" w:lineRule="auto"/>
              <w:rPr>
                <w:szCs w:val="21"/>
              </w:rPr>
            </w:pPr>
            <w:r>
              <w:rPr>
                <w:rFonts w:hint="eastAsia"/>
                <w:szCs w:val="21"/>
              </w:rPr>
              <w:t>E6.2.1</w:t>
            </w:r>
          </w:p>
        </w:tc>
        <w:tc>
          <w:tcPr>
            <w:tcW w:w="10004" w:type="dxa"/>
            <w:vAlign w:val="center"/>
          </w:tcPr>
          <w:p>
            <w:pPr>
              <w:spacing w:line="360" w:lineRule="auto"/>
              <w:rPr>
                <w:rFonts w:hint="eastAsia"/>
                <w:sz w:val="21"/>
                <w:szCs w:val="21"/>
              </w:rPr>
            </w:pPr>
            <w:r>
              <w:rPr>
                <w:rFonts w:hint="eastAsia"/>
                <w:sz w:val="21"/>
                <w:szCs w:val="21"/>
              </w:rPr>
              <w:t>出示了20</w:t>
            </w:r>
            <w:r>
              <w:rPr>
                <w:rFonts w:hint="eastAsia"/>
                <w:sz w:val="21"/>
                <w:szCs w:val="21"/>
                <w:lang w:val="en-US" w:eastAsia="zh-CN"/>
              </w:rPr>
              <w:t>20</w:t>
            </w:r>
            <w:r>
              <w:rPr>
                <w:rFonts w:hint="eastAsia"/>
                <w:sz w:val="21"/>
                <w:szCs w:val="21"/>
              </w:rPr>
              <w:t>年度目标完成情况如下：</w:t>
            </w:r>
          </w:p>
          <w:p>
            <w:pPr>
              <w:spacing w:line="360" w:lineRule="auto"/>
              <w:rPr>
                <w:rFonts w:hint="eastAsia"/>
                <w:sz w:val="21"/>
                <w:szCs w:val="21"/>
              </w:rPr>
            </w:pPr>
            <w:r>
              <w:rPr>
                <w:rFonts w:hint="eastAsia"/>
                <w:sz w:val="21"/>
                <w:szCs w:val="21"/>
              </w:rPr>
              <w:t>部门目标：               考核情况</w:t>
            </w:r>
          </w:p>
          <w:p>
            <w:pPr>
              <w:spacing w:line="360" w:lineRule="auto"/>
              <w:rPr>
                <w:rFonts w:hint="eastAsia"/>
                <w:sz w:val="21"/>
                <w:szCs w:val="21"/>
              </w:rPr>
            </w:pPr>
            <w:r>
              <w:rPr>
                <w:rFonts w:hint="eastAsia"/>
                <w:sz w:val="21"/>
                <w:szCs w:val="21"/>
              </w:rPr>
              <w:t>文件发放有效率100%；     100%</w:t>
            </w:r>
          </w:p>
          <w:p>
            <w:pPr>
              <w:spacing w:line="360" w:lineRule="auto"/>
              <w:rPr>
                <w:rFonts w:hint="eastAsia"/>
                <w:sz w:val="21"/>
                <w:szCs w:val="21"/>
              </w:rPr>
            </w:pPr>
            <w:r>
              <w:rPr>
                <w:rFonts w:hint="eastAsia"/>
                <w:sz w:val="21"/>
                <w:szCs w:val="21"/>
              </w:rPr>
              <w:t>培训计划完成率98%；      100%</w:t>
            </w:r>
          </w:p>
          <w:p>
            <w:pPr>
              <w:spacing w:line="360" w:lineRule="auto"/>
              <w:rPr>
                <w:rFonts w:hint="eastAsia"/>
                <w:sz w:val="21"/>
                <w:szCs w:val="21"/>
              </w:rPr>
            </w:pPr>
            <w:r>
              <w:rPr>
                <w:rFonts w:hint="eastAsia"/>
                <w:sz w:val="21"/>
                <w:szCs w:val="21"/>
              </w:rPr>
              <w:t>固废分类处置率100%；      100%</w:t>
            </w:r>
          </w:p>
          <w:p>
            <w:pPr>
              <w:spacing w:line="360" w:lineRule="auto"/>
              <w:rPr>
                <w:rFonts w:hint="eastAsia"/>
                <w:sz w:val="21"/>
                <w:szCs w:val="21"/>
              </w:rPr>
            </w:pPr>
            <w:r>
              <w:rPr>
                <w:rFonts w:hint="eastAsia"/>
                <w:sz w:val="21"/>
                <w:szCs w:val="21"/>
              </w:rPr>
              <w:t>安全及火灾事故为0；         0</w:t>
            </w:r>
          </w:p>
          <w:p>
            <w:pPr>
              <w:spacing w:line="360" w:lineRule="auto"/>
              <w:rPr>
                <w:rFonts w:hint="eastAsia"/>
                <w:sz w:val="21"/>
                <w:szCs w:val="21"/>
              </w:rPr>
            </w:pPr>
            <w:r>
              <w:rPr>
                <w:rFonts w:hint="eastAsia"/>
                <w:sz w:val="21"/>
                <w:szCs w:val="21"/>
              </w:rPr>
              <w:t>环保安全资金落实率100%    100%</w:t>
            </w:r>
          </w:p>
          <w:p>
            <w:pPr>
              <w:spacing w:line="360" w:lineRule="auto"/>
              <w:rPr>
                <w:rFonts w:hint="eastAsia"/>
                <w:sz w:val="21"/>
                <w:szCs w:val="21"/>
              </w:rPr>
            </w:pPr>
            <w:r>
              <w:rPr>
                <w:rFonts w:hint="eastAsia"/>
                <w:sz w:val="21"/>
                <w:szCs w:val="21"/>
              </w:rPr>
              <w:t>每3个月进行一次考核，目标基本实现。</w:t>
            </w:r>
          </w:p>
          <w:p>
            <w:pPr>
              <w:spacing w:line="360" w:lineRule="auto"/>
              <w:rPr>
                <w:rFonts w:hint="eastAsia" w:eastAsia="宋体"/>
                <w:sz w:val="21"/>
                <w:szCs w:val="21"/>
                <w:lang w:eastAsia="zh-CN"/>
              </w:rPr>
            </w:pPr>
            <w:r>
              <w:rPr>
                <w:rFonts w:hint="eastAsia"/>
                <w:sz w:val="21"/>
                <w:szCs w:val="21"/>
              </w:rPr>
              <w:t xml:space="preserve">考核人： </w:t>
            </w:r>
            <w:r>
              <w:rPr>
                <w:rFonts w:hint="eastAsia"/>
                <w:sz w:val="21"/>
                <w:szCs w:val="21"/>
                <w:lang w:eastAsia="zh-CN"/>
              </w:rPr>
              <w:t>杨秧秧</w:t>
            </w:r>
            <w:r>
              <w:rPr>
                <w:rFonts w:hint="eastAsia"/>
                <w:sz w:val="21"/>
                <w:szCs w:val="21"/>
              </w:rPr>
              <w:t xml:space="preserve">    20</w:t>
            </w:r>
            <w:r>
              <w:rPr>
                <w:rFonts w:hint="eastAsia"/>
                <w:sz w:val="21"/>
                <w:szCs w:val="21"/>
                <w:lang w:val="en-US" w:eastAsia="zh-CN"/>
              </w:rPr>
              <w:t>21</w:t>
            </w: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eastAsia="zh-CN"/>
              </w:rPr>
              <w:t>8</w:t>
            </w:r>
          </w:p>
          <w:p>
            <w:pPr>
              <w:spacing w:line="360" w:lineRule="auto"/>
              <w:rPr>
                <w:rFonts w:hint="eastAsia"/>
                <w:sz w:val="21"/>
                <w:szCs w:val="21"/>
              </w:rPr>
            </w:pPr>
            <w:r>
              <w:rPr>
                <w:rFonts w:hint="eastAsia"/>
                <w:sz w:val="21"/>
                <w:szCs w:val="21"/>
              </w:rPr>
              <w:t>抽查管理方案情况</w:t>
            </w:r>
          </w:p>
          <w:p>
            <w:pPr>
              <w:spacing w:line="360" w:lineRule="auto"/>
              <w:rPr>
                <w:rFonts w:hint="eastAsia"/>
                <w:sz w:val="21"/>
                <w:szCs w:val="21"/>
              </w:rPr>
            </w:pPr>
            <w:r>
              <w:rPr>
                <w:rFonts w:hint="eastAsia"/>
                <w:sz w:val="21"/>
                <w:szCs w:val="21"/>
              </w:rPr>
              <w:t>环境目标指标：废弃物100%分类堆放处置</w:t>
            </w:r>
          </w:p>
          <w:p>
            <w:pPr>
              <w:spacing w:line="360" w:lineRule="auto"/>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w:t>
            </w:r>
          </w:p>
          <w:p>
            <w:pPr>
              <w:spacing w:line="360" w:lineRule="auto"/>
              <w:rPr>
                <w:rFonts w:hint="eastAsia"/>
                <w:sz w:val="21"/>
                <w:szCs w:val="21"/>
              </w:rPr>
            </w:pPr>
            <w:r>
              <w:rPr>
                <w:rFonts w:hint="eastAsia"/>
                <w:sz w:val="21"/>
                <w:szCs w:val="21"/>
              </w:rPr>
              <w:t>完成时间：20</w:t>
            </w:r>
            <w:r>
              <w:rPr>
                <w:rFonts w:hint="eastAsia"/>
                <w:sz w:val="21"/>
                <w:szCs w:val="21"/>
                <w:lang w:val="en-US" w:eastAsia="zh-CN"/>
              </w:rPr>
              <w:t>20</w:t>
            </w:r>
            <w:r>
              <w:rPr>
                <w:rFonts w:hint="eastAsia"/>
                <w:sz w:val="21"/>
                <w:szCs w:val="21"/>
              </w:rPr>
              <w:t xml:space="preserve">.1-12费用5000元 </w:t>
            </w:r>
          </w:p>
          <w:p>
            <w:pPr>
              <w:spacing w:line="360" w:lineRule="auto"/>
              <w:rPr>
                <w:rFonts w:hint="eastAsia"/>
                <w:sz w:val="21"/>
                <w:szCs w:val="21"/>
              </w:rPr>
            </w:pPr>
            <w:r>
              <w:rPr>
                <w:rFonts w:hint="eastAsia"/>
                <w:sz w:val="21"/>
                <w:szCs w:val="21"/>
              </w:rPr>
              <w:t>责任部门：各部门，监控部门：办公室</w:t>
            </w:r>
          </w:p>
          <w:p>
            <w:pPr>
              <w:spacing w:line="360" w:lineRule="auto"/>
              <w:ind w:firstLine="420" w:firstLineChars="200"/>
              <w:rPr>
                <w:rFonts w:ascii="宋体" w:hAnsi="宋体" w:cs="宋体"/>
                <w:szCs w:val="21"/>
              </w:rPr>
            </w:pPr>
            <w:r>
              <w:rPr>
                <w:rFonts w:hint="eastAsia"/>
                <w:sz w:val="21"/>
                <w:szCs w:val="21"/>
              </w:rPr>
              <w:t>另抽杜绝火灾事故管理方案以上类似，措施基本可行。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ascii="宋体" w:hAnsi="宋体" w:cs="宋体"/>
                <w:szCs w:val="21"/>
              </w:rPr>
            </w:pPr>
            <w:r>
              <w:rPr>
                <w:rFonts w:hint="eastAsia" w:ascii="宋体" w:hAnsi="宋体" w:cs="宋体"/>
                <w:szCs w:val="21"/>
              </w:rPr>
              <w:t>环境目标实现措施策划</w:t>
            </w:r>
          </w:p>
        </w:tc>
        <w:tc>
          <w:tcPr>
            <w:tcW w:w="998" w:type="dxa"/>
          </w:tcPr>
          <w:p>
            <w:pPr>
              <w:spacing w:line="360" w:lineRule="auto"/>
              <w:rPr>
                <w:szCs w:val="21"/>
              </w:rPr>
            </w:pPr>
            <w:r>
              <w:rPr>
                <w:rFonts w:hint="eastAsia"/>
                <w:szCs w:val="21"/>
              </w:rPr>
              <w:t>E6.2.2</w:t>
            </w: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rPr>
              <w:t>按《危险源辨识、风险评价和控制措施的确定》识别的重大危险制定管理措施，制定《相关方控制程序》等文件；由</w:t>
            </w:r>
            <w:r>
              <w:rPr>
                <w:rFonts w:hint="eastAsia"/>
                <w:lang w:eastAsia="zh-CN"/>
              </w:rPr>
              <w:t>办公室</w:t>
            </w:r>
            <w:r>
              <w:rPr>
                <w:rFonts w:hint="eastAsia"/>
              </w:rPr>
              <w:t>统一管理。基本不涉及重大法规要求的不可接受的</w:t>
            </w:r>
            <w:r>
              <w:rPr>
                <w:rFonts w:hint="eastAsia" w:ascii="Times New Roman" w:hAnsi="Times New Roman" w:eastAsia="宋体" w:cs="Times New Roman"/>
                <w:szCs w:val="22"/>
              </w:rPr>
              <w:t>环境和安全风险</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安全目标、指标：火灾事故发生率为0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措施：强化安全思想教育培训，认真学习安全规程；配备符合要求的安全工器具；电源电线与化学品易燃物分开.....。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.1~12费用：3000元 责任部门：</w:t>
            </w:r>
            <w:r>
              <w:rPr>
                <w:rFonts w:hint="eastAsia" w:cs="Times New Roman"/>
                <w:sz w:val="21"/>
                <w:szCs w:val="21"/>
                <w:lang w:eastAsia="zh-CN"/>
              </w:rPr>
              <w:t>生产部</w:t>
            </w:r>
            <w:r>
              <w:rPr>
                <w:rFonts w:hint="default" w:ascii="Times New Roman" w:hAnsi="Times New Roman" w:eastAsia="宋体" w:cs="Times New Roman"/>
                <w:sz w:val="21"/>
                <w:szCs w:val="21"/>
              </w:rPr>
              <w:t>/办公室等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•安全目标、指标：职业病发生率为0，员工按计划体检率100%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管理方案：为操作人员配备劳保用品，每年按计划为员工进行体检.....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完成时间：20</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.1~12费用：5000元 责任部门：办公室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另查看重大安全事故为0，轻伤事故≤3起/年的管理方案以上类似，措施基本可行。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每季度组织一次对目标、指标管理方案进行程度、完成情况的考核，提供安全目标、指标考核记录，20</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年</w:t>
            </w:r>
            <w:r>
              <w:rPr>
                <w:rFonts w:hint="eastAsia" w:cs="Times New Roman"/>
                <w:sz w:val="21"/>
                <w:szCs w:val="21"/>
                <w:lang w:val="en-US" w:eastAsia="zh-CN"/>
              </w:rPr>
              <w:t>-2021.3</w:t>
            </w:r>
            <w:r>
              <w:rPr>
                <w:rFonts w:hint="default" w:ascii="Times New Roman" w:hAnsi="Times New Roman" w:eastAsia="宋体" w:cs="Times New Roman"/>
                <w:sz w:val="21"/>
                <w:szCs w:val="21"/>
              </w:rPr>
              <w:t>的目标、指标管理方案完成情况考核，达到了阶段性的目标要求。</w:t>
            </w:r>
          </w:p>
          <w:p>
            <w:pPr>
              <w:spacing w:line="360" w:lineRule="auto"/>
            </w:pPr>
            <w:r>
              <w:rPr>
                <w:rFonts w:hint="default" w:ascii="Times New Roman" w:hAnsi="Times New Roman" w:eastAsia="宋体" w:cs="Times New Roman"/>
                <w:sz w:val="21"/>
                <w:szCs w:val="21"/>
              </w:rPr>
              <w:t>制定的指标和管理方案基本可行。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人员</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Q7.1.2</w:t>
            </w:r>
          </w:p>
          <w:p>
            <w:pPr>
              <w:spacing w:line="360" w:lineRule="auto"/>
              <w:rPr>
                <w:b/>
                <w:szCs w:val="21"/>
              </w:rPr>
            </w:pPr>
          </w:p>
        </w:tc>
        <w:tc>
          <w:tcPr>
            <w:tcW w:w="10004" w:type="dxa"/>
            <w:vAlign w:val="center"/>
          </w:tcPr>
          <w:p>
            <w:pPr>
              <w:spacing w:line="360" w:lineRule="auto"/>
              <w:ind w:firstLine="420" w:firstLineChars="200"/>
            </w:pPr>
            <w:r>
              <w:rPr>
                <w:rFonts w:hint="eastAsia"/>
                <w:lang w:eastAsia="zh-CN"/>
              </w:rPr>
              <w:t>办公室</w:t>
            </w:r>
            <w:r>
              <w:rPr>
                <w:rFonts w:hint="eastAsia"/>
              </w:rPr>
              <w:t>根据各部门的需要配备管理体系运行所需的人员，任命内审员</w:t>
            </w:r>
            <w:r>
              <w:t>2</w:t>
            </w:r>
            <w:r>
              <w:rPr>
                <w:rFonts w:hint="eastAsia"/>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spacing w:line="360" w:lineRule="auto"/>
              <w:rPr>
                <w:rFonts w:hint="default" w:cs="Times New Roman"/>
                <w:kern w:val="2"/>
                <w:sz w:val="21"/>
                <w:szCs w:val="22"/>
                <w:lang w:val="en-US" w:eastAsia="zh-CN" w:bidi="ar-SA"/>
              </w:rPr>
            </w:pPr>
            <w:r>
              <w:rPr>
                <w:rFonts w:hint="eastAsia"/>
              </w:rPr>
              <w:t>提供有员工花名册，目前公司共有员工</w:t>
            </w:r>
            <w:r>
              <w:rPr>
                <w:rFonts w:hint="eastAsia"/>
                <w:lang w:val="en-US" w:eastAsia="zh-CN"/>
              </w:rPr>
              <w:t>20</w:t>
            </w:r>
            <w:r>
              <w:rPr>
                <w:rFonts w:hint="eastAsia"/>
              </w:rPr>
              <w:t>人，各部门人员配备基本充分，基本符合要求。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组织的知识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Q7.1.6</w:t>
            </w:r>
          </w:p>
          <w:p>
            <w:pPr>
              <w:spacing w:line="360" w:lineRule="auto"/>
              <w:rPr>
                <w:b/>
                <w:szCs w:val="21"/>
              </w:rPr>
            </w:pP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能力</w:t>
            </w:r>
          </w:p>
          <w:p>
            <w:pPr>
              <w:spacing w:line="360" w:lineRule="auto"/>
              <w:rPr>
                <w:b/>
                <w:szCs w:val="21"/>
              </w:rPr>
            </w:pPr>
          </w:p>
        </w:tc>
        <w:tc>
          <w:tcPr>
            <w:tcW w:w="998" w:type="dxa"/>
          </w:tcPr>
          <w:p>
            <w:pPr>
              <w:spacing w:line="360" w:lineRule="auto"/>
              <w:rPr>
                <w:b/>
                <w:szCs w:val="21"/>
              </w:rPr>
            </w:pPr>
            <w:r>
              <w:rPr>
                <w:rFonts w:hint="eastAsia" w:ascii="宋体" w:hAnsi="宋体" w:cs="宋体"/>
                <w:color w:val="000000"/>
                <w:kern w:val="0"/>
                <w:szCs w:val="21"/>
              </w:rPr>
              <w:t>QE7.2</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w:t>
            </w:r>
            <w:r>
              <w:rPr>
                <w:rFonts w:hint="eastAsia" w:ascii="宋体" w:hAnsi="宋体" w:cs="宋体"/>
                <w:color w:val="000000"/>
                <w:kern w:val="0"/>
                <w:szCs w:val="21"/>
                <w:lang w:val="en-US" w:eastAsia="zh-CN"/>
              </w:rPr>
              <w:t>检定、校准</w:t>
            </w:r>
            <w:r>
              <w:rPr>
                <w:rFonts w:hint="eastAsia" w:ascii="宋体" w:hAnsi="宋体" w:cs="宋体"/>
                <w:color w:val="000000"/>
                <w:kern w:val="0"/>
                <w:szCs w:val="21"/>
              </w:rPr>
              <w:t>过程为关键过程，对人员岗位人员能力进行了资格确认，均有评审结果，基本符合要求。</w:t>
            </w:r>
          </w:p>
          <w:p>
            <w:pPr>
              <w:spacing w:line="360" w:lineRule="auto"/>
              <w:rPr>
                <w:rFonts w:ascii="宋体" w:hAnsi="宋体" w:cs="宋体"/>
                <w:color w:val="000000"/>
                <w:kern w:val="0"/>
                <w:szCs w:val="21"/>
              </w:rPr>
            </w:pPr>
            <w:r>
              <w:rPr>
                <w:rFonts w:hint="eastAsia" w:ascii="宋体" w:hAnsi="宋体" w:cs="宋体"/>
                <w:color w:val="000000"/>
                <w:kern w:val="0"/>
                <w:szCs w:val="21"/>
              </w:rPr>
              <w:t>查看“</w:t>
            </w:r>
            <w:r>
              <w:rPr>
                <w:rFonts w:hint="eastAsia" w:ascii="宋体" w:hAnsi="宋体" w:cs="宋体"/>
                <w:color w:val="000000"/>
                <w:kern w:val="0"/>
                <w:szCs w:val="21"/>
                <w:lang w:val="en-US" w:eastAsia="zh-CN"/>
              </w:rPr>
              <w:t>2020-</w:t>
            </w:r>
            <w:r>
              <w:rPr>
                <w:rFonts w:hint="eastAsia" w:ascii="宋体" w:hAnsi="宋体" w:cs="宋体"/>
                <w:color w:val="000000"/>
                <w:kern w:val="0"/>
                <w:szCs w:val="21"/>
              </w:rPr>
              <w:t>20</w:t>
            </w:r>
            <w:r>
              <w:rPr>
                <w:rFonts w:ascii="宋体" w:hAnsi="宋体" w:cs="宋体"/>
                <w:color w:val="000000"/>
                <w:kern w:val="0"/>
                <w:szCs w:val="21"/>
              </w:rPr>
              <w:t>2</w:t>
            </w:r>
            <w:r>
              <w:rPr>
                <w:rFonts w:hint="eastAsia" w:ascii="宋体" w:hAnsi="宋体" w:cs="宋体"/>
                <w:color w:val="000000"/>
                <w:kern w:val="0"/>
                <w:szCs w:val="21"/>
                <w:lang w:val="en-US" w:eastAsia="zh-CN"/>
              </w:rPr>
              <w:t>1</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360" w:lineRule="auto"/>
              <w:rPr>
                <w:rFonts w:ascii="宋体" w:hAnsi="宋体" w:cs="宋体"/>
                <w:color w:val="000000"/>
                <w:kern w:val="0"/>
                <w:szCs w:val="21"/>
              </w:rPr>
            </w:pPr>
            <w:r>
              <w:rPr>
                <w:rFonts w:hint="eastAsia" w:ascii="宋体" w:hAnsi="宋体" w:cs="宋体"/>
                <w:color w:val="000000"/>
                <w:kern w:val="0"/>
                <w:szCs w:val="21"/>
              </w:rPr>
              <w:t>抽查《培训记录/评价表》：</w:t>
            </w:r>
          </w:p>
          <w:p>
            <w:pPr>
              <w:spacing w:line="360" w:lineRule="auto"/>
              <w:rPr>
                <w:rFonts w:ascii="宋体" w:hAnsi="宋体" w:cs="宋体"/>
                <w:color w:val="000000"/>
                <w:kern w:val="0"/>
                <w:szCs w:val="21"/>
              </w:rPr>
            </w:pPr>
            <w:r>
              <w:rPr>
                <w:rFonts w:hint="eastAsia" w:ascii="宋体" w:hAnsi="宋体" w:cs="宋体"/>
                <w:color w:val="000000"/>
                <w:kern w:val="0"/>
                <w:szCs w:val="21"/>
              </w:rPr>
              <w:t>1、20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6/5-7</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7</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：对环境及安全防护知识进行培训，培训老师：</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。参加人：各部门人员等。通过口试对理解情况进行考核，考核结果：全部通过。验证人：</w:t>
            </w:r>
            <w:r>
              <w:rPr>
                <w:rFonts w:hint="eastAsia" w:ascii="宋体" w:hAnsi="宋体" w:cs="宋体"/>
                <w:color w:val="000000"/>
                <w:kern w:val="0"/>
                <w:szCs w:val="21"/>
                <w:lang w:val="en-US" w:eastAsia="zh-CN"/>
              </w:rPr>
              <w:t>方晓静</w:t>
            </w:r>
            <w:r>
              <w:rPr>
                <w:rFonts w:hint="eastAsia" w:ascii="宋体" w:hAnsi="宋体" w:cs="宋体"/>
                <w:color w:val="000000"/>
                <w:kern w:val="0"/>
                <w:szCs w:val="21"/>
              </w:rPr>
              <w:t>。</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pPr>
            <w:r>
              <w:rPr>
                <w:rFonts w:hint="eastAsia"/>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default"/>
                <w:szCs w:val="21"/>
                <w:lang w:val="en-US" w:eastAsia="zh-CN"/>
              </w:rPr>
            </w:pPr>
            <w:r>
              <w:rPr>
                <w:rFonts w:hint="eastAsia"/>
              </w:rPr>
              <w:t>询问</w:t>
            </w:r>
            <w:r>
              <w:rPr>
                <w:rFonts w:hint="eastAsia"/>
                <w:lang w:eastAsia="zh-CN"/>
              </w:rPr>
              <w:t>办公室冯勇</w:t>
            </w:r>
            <w:r>
              <w:rPr>
                <w:rFonts w:hint="eastAsia"/>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vAlign w:val="top"/>
          </w:tcPr>
          <w:p>
            <w:pPr>
              <w:spacing w:line="360" w:lineRule="auto"/>
              <w:rPr>
                <w:u w:val="none"/>
              </w:rPr>
            </w:pPr>
            <w:r>
              <w:rPr>
                <w:rFonts w:hint="eastAsia"/>
                <w:u w:val="none"/>
              </w:rPr>
              <w:t>沟通</w:t>
            </w:r>
          </w:p>
          <w:p>
            <w:pPr>
              <w:spacing w:line="360" w:lineRule="auto"/>
              <w:rPr>
                <w:rFonts w:ascii="Times New Roman" w:hAnsi="Times New Roman" w:eastAsia="宋体" w:cs="Times New Roman"/>
                <w:kern w:val="2"/>
                <w:sz w:val="21"/>
                <w:u w:val="none"/>
                <w:lang w:val="en-US" w:eastAsia="zh-CN" w:bidi="ar-SA"/>
              </w:rPr>
            </w:pPr>
          </w:p>
        </w:tc>
        <w:tc>
          <w:tcPr>
            <w:tcW w:w="998" w:type="dxa"/>
            <w:vAlign w:val="top"/>
          </w:tcPr>
          <w:p>
            <w:pPr>
              <w:spacing w:line="360" w:lineRule="auto"/>
              <w:rPr>
                <w:rFonts w:ascii="Times New Roman" w:hAnsi="Times New Roman" w:eastAsia="宋体" w:cs="Times New Roman"/>
                <w:kern w:val="2"/>
                <w:sz w:val="21"/>
                <w:u w:val="none"/>
                <w:lang w:val="en-US" w:eastAsia="zh-CN" w:bidi="ar-SA"/>
              </w:rPr>
            </w:pPr>
            <w:r>
              <w:rPr>
                <w:rFonts w:hint="eastAsia"/>
                <w:u w:val="none"/>
              </w:rPr>
              <w:t>QE7.4</w:t>
            </w:r>
          </w:p>
        </w:tc>
        <w:tc>
          <w:tcPr>
            <w:tcW w:w="10004" w:type="dxa"/>
            <w:vAlign w:val="center"/>
          </w:tcPr>
          <w:p>
            <w:pPr>
              <w:spacing w:line="360" w:lineRule="auto"/>
              <w:ind w:firstLine="420" w:firstLineChars="200"/>
              <w:rPr>
                <w:szCs w:val="21"/>
                <w:u w:val="none"/>
              </w:rPr>
            </w:pPr>
            <w:r>
              <w:rPr>
                <w:rFonts w:hint="eastAsia"/>
                <w:szCs w:val="21"/>
                <w:u w:val="none"/>
              </w:rPr>
              <w:t>公司编制并实施了《</w:t>
            </w:r>
            <w:r>
              <w:rPr>
                <w:rFonts w:hint="eastAsia"/>
                <w:szCs w:val="21"/>
                <w:u w:val="none"/>
                <w:lang w:eastAsia="zh-CN"/>
              </w:rPr>
              <w:t>信息沟通、参与和协商控制程序</w:t>
            </w:r>
            <w:r>
              <w:rPr>
                <w:rFonts w:hint="eastAsia"/>
                <w:szCs w:val="21"/>
                <w:u w:val="none"/>
              </w:rPr>
              <w:t>》，规定了职责、工作流程，包括内部沟通和外部沟通的方法和要求。</w:t>
            </w:r>
          </w:p>
          <w:p>
            <w:pPr>
              <w:spacing w:line="360" w:lineRule="auto"/>
              <w:ind w:firstLine="420" w:firstLineChars="200"/>
              <w:rPr>
                <w:szCs w:val="21"/>
                <w:u w:val="none"/>
              </w:rPr>
            </w:pPr>
            <w:r>
              <w:rPr>
                <w:rFonts w:hint="eastAsia"/>
                <w:szCs w:val="21"/>
                <w:u w:val="none"/>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u w:val="none"/>
                <w:lang w:eastAsia="zh-CN"/>
              </w:rPr>
              <w:t>办公室</w:t>
            </w:r>
            <w:r>
              <w:rPr>
                <w:rFonts w:hint="eastAsia"/>
                <w:szCs w:val="21"/>
                <w:u w:val="none"/>
              </w:rPr>
              <w:t>统一负责。</w:t>
            </w:r>
          </w:p>
          <w:p>
            <w:pPr>
              <w:spacing w:line="360" w:lineRule="auto"/>
              <w:ind w:firstLine="420" w:firstLineChars="200"/>
              <w:rPr>
                <w:szCs w:val="21"/>
                <w:u w:val="none"/>
              </w:rPr>
            </w:pPr>
            <w:r>
              <w:rPr>
                <w:rFonts w:hint="eastAsia"/>
                <w:szCs w:val="21"/>
                <w:u w:val="none"/>
              </w:rPr>
              <w:t>现场查阅内部交流：方针、目标完成情况、内审和管理评审报告、不符合信息等。</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和员工</w:t>
            </w:r>
            <w:r>
              <w:rPr>
                <w:rFonts w:hint="eastAsia"/>
                <w:szCs w:val="21"/>
                <w:u w:val="none"/>
                <w:lang w:eastAsia="zh-CN"/>
              </w:rPr>
              <w:t>冯勇</w:t>
            </w:r>
            <w:r>
              <w:rPr>
                <w:rFonts w:hint="eastAsia"/>
                <w:szCs w:val="21"/>
                <w:u w:val="none"/>
              </w:rPr>
              <w:t>面谈，知道公司的管理者代表及职业健康安全事务代表。</w:t>
            </w:r>
          </w:p>
          <w:p>
            <w:pPr>
              <w:spacing w:line="360" w:lineRule="auto"/>
              <w:ind w:firstLine="420" w:firstLineChars="200"/>
              <w:rPr>
                <w:rFonts w:hint="eastAsia" w:ascii="Times New Roman" w:hAnsi="Times New Roman" w:eastAsia="宋体" w:cs="Times New Roman"/>
                <w:kern w:val="2"/>
                <w:sz w:val="21"/>
                <w:szCs w:val="21"/>
                <w:u w:val="none"/>
                <w:lang w:val="en-US" w:eastAsia="zh-CN" w:bidi="ar-SA"/>
              </w:rPr>
            </w:pPr>
            <w:r>
              <w:rPr>
                <w:rFonts w:hint="eastAsia"/>
                <w:szCs w:val="21"/>
                <w:u w:val="none"/>
              </w:rPr>
              <w:t>审核周期内未发生因沟通不善造成的的问题。</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360" w:lineRule="auto"/>
              <w:rPr>
                <w:rFonts w:ascii="宋体" w:hAnsi="宋体" w:cs="宋体"/>
                <w:color w:val="000000"/>
                <w:kern w:val="0"/>
                <w:szCs w:val="21"/>
              </w:rPr>
            </w:pPr>
            <w:r>
              <w:rPr>
                <w:rFonts w:hint="eastAsia" w:ascii="宋体" w:hAnsi="宋体" w:cs="宋体"/>
                <w:color w:val="000000"/>
                <w:kern w:val="0"/>
                <w:szCs w:val="21"/>
              </w:rPr>
              <w:t>成文信息</w:t>
            </w:r>
          </w:p>
          <w:p>
            <w:pPr>
              <w:spacing w:line="360" w:lineRule="auto"/>
              <w:rPr>
                <w:rFonts w:ascii="宋体" w:hAnsi="宋体" w:cs="宋体"/>
                <w:szCs w:val="21"/>
              </w:rPr>
            </w:pPr>
          </w:p>
        </w:tc>
        <w:tc>
          <w:tcPr>
            <w:tcW w:w="998" w:type="dxa"/>
          </w:tcPr>
          <w:p>
            <w:pPr>
              <w:spacing w:line="360" w:lineRule="auto"/>
              <w:rPr>
                <w:rFonts w:ascii="宋体" w:hAnsi="宋体" w:cs="宋体"/>
                <w:color w:val="000000"/>
                <w:kern w:val="0"/>
                <w:szCs w:val="21"/>
              </w:rPr>
            </w:pPr>
            <w:r>
              <w:rPr>
                <w:rFonts w:hint="eastAsia" w:ascii="宋体" w:hAnsi="宋体" w:cs="宋体"/>
                <w:color w:val="000000"/>
                <w:kern w:val="0"/>
                <w:szCs w:val="21"/>
              </w:rPr>
              <w:t>QE7.5</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三层次文件：管理制度，外来文件：包括</w:t>
            </w:r>
            <w:r>
              <w:rPr>
                <w:rFonts w:hint="eastAsia"/>
                <w:szCs w:val="21"/>
                <w:lang w:val="en-US" w:eastAsia="zh-CN"/>
              </w:rPr>
              <w:t>螺旋（双）转子流量计、普通电磁流量计、楔形流量计、三转子流量计、指示型转子流量计、螺旋单转子流量计、智能控制注水仪、金属刮板流量计、旋进漩涡气体流量计、质量流量计的生产及销售管理实施细则等</w:t>
            </w:r>
            <w:r>
              <w:rPr>
                <w:rFonts w:hint="eastAsia"/>
                <w:szCs w:val="21"/>
              </w:rPr>
              <w:t>，环境、职业健康安全及运行记录，满足公司目前的管理体系运行的需要。体系文件基本能保证有效性和效率的要求。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rFonts w:hint="eastAsia" w:ascii="Times New Roman" w:hAnsi="Times New Roman" w:eastAsia="宋体" w:cs="Times New Roman"/>
                <w:szCs w:val="21"/>
              </w:rPr>
            </w:pPr>
            <w:r>
              <w:rPr>
                <w:rFonts w:hint="eastAsia"/>
                <w:szCs w:val="21"/>
              </w:rPr>
              <w:t>公司编</w:t>
            </w:r>
            <w:r>
              <w:rPr>
                <w:rFonts w:hint="eastAsia" w:ascii="Times New Roman" w:hAnsi="Times New Roman" w:eastAsia="宋体" w:cs="Times New Roman"/>
                <w:szCs w:val="21"/>
              </w:rPr>
              <w:t>制并实施了《文件控制程序》，文件包括：管理手册、程序文件、各种管理制度等。</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无企业标准。</w:t>
            </w:r>
          </w:p>
          <w:p>
            <w:pPr>
              <w:spacing w:line="360" w:lineRule="auto"/>
              <w:ind w:firstLine="420" w:firstLineChars="200"/>
              <w:rPr>
                <w:szCs w:val="21"/>
              </w:rPr>
            </w:pPr>
            <w:r>
              <w:rPr>
                <w:rFonts w:hint="eastAsia"/>
                <w:szCs w:val="21"/>
              </w:rPr>
              <w:t>查管理手册、程序文</w:t>
            </w:r>
            <w:r>
              <w:rPr>
                <w:rFonts w:hint="eastAsia" w:ascii="Times New Roman" w:hAnsi="Times New Roman" w:eastAsia="宋体" w:cs="Times New Roman"/>
                <w:szCs w:val="21"/>
              </w:rPr>
              <w:t>件等文件，编制：文件编制小组，审核：</w:t>
            </w:r>
            <w:r>
              <w:rPr>
                <w:rFonts w:hint="eastAsia" w:cs="Times New Roman"/>
                <w:szCs w:val="21"/>
                <w:lang w:eastAsia="zh-CN"/>
              </w:rPr>
              <w:t>方晓静</w:t>
            </w:r>
            <w:r>
              <w:rPr>
                <w:rFonts w:hint="eastAsia"/>
                <w:szCs w:val="21"/>
              </w:rPr>
              <w:t>，批准：</w:t>
            </w:r>
            <w:r>
              <w:rPr>
                <w:rFonts w:hint="eastAsia"/>
                <w:szCs w:val="21"/>
                <w:lang w:eastAsia="zh-CN"/>
              </w:rPr>
              <w:t>赵新时</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10</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360" w:lineRule="auto"/>
              <w:ind w:firstLine="420" w:firstLineChars="200"/>
              <w:rPr>
                <w:b/>
                <w:bCs/>
                <w:color w:val="FF0000"/>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pPr>
              <w:spacing w:line="360" w:lineRule="auto"/>
              <w:ind w:firstLine="420" w:firstLineChars="200"/>
              <w:rPr>
                <w:szCs w:val="21"/>
              </w:rPr>
            </w:pPr>
            <w:r>
              <w:rPr>
                <w:rFonts w:hint="eastAsia"/>
                <w:szCs w:val="21"/>
              </w:rPr>
              <w:t>查文件发放：</w:t>
            </w:r>
            <w:r>
              <w:rPr>
                <w:rFonts w:hint="eastAsia"/>
                <w:szCs w:val="21"/>
                <w:lang w:eastAsia="zh-CN"/>
              </w:rPr>
              <w:t>办公室</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10</w:t>
            </w:r>
            <w:r>
              <w:rPr>
                <w:rFonts w:hint="eastAsia"/>
                <w:szCs w:val="21"/>
              </w:rPr>
              <w:t>日下发了管理手册、程序文件、管理制度汇编等文件</w:t>
            </w:r>
            <w:r>
              <w:rPr>
                <w:rFonts w:hint="eastAsia"/>
                <w:szCs w:val="21"/>
                <w:lang w:eastAsia="zh-CN"/>
              </w:rPr>
              <w:t>，</w:t>
            </w:r>
            <w:r>
              <w:rPr>
                <w:rFonts w:hint="eastAsia"/>
                <w:szCs w:val="21"/>
                <w:lang w:val="en-US" w:eastAsia="zh-CN"/>
              </w:rPr>
              <w:t>并回收了旧版文件</w:t>
            </w:r>
            <w:r>
              <w:rPr>
                <w:rFonts w:hint="eastAsia"/>
                <w:szCs w:val="21"/>
              </w:rPr>
              <w:t>。</w:t>
            </w:r>
          </w:p>
          <w:p>
            <w:pPr>
              <w:spacing w:line="360" w:lineRule="auto"/>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文件有标识，检索方便，文件夹存放于文件柜内，防护符合要求。</w:t>
            </w:r>
          </w:p>
          <w:p>
            <w:pPr>
              <w:spacing w:line="360" w:lineRule="auto"/>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360" w:lineRule="auto"/>
              <w:ind w:firstLine="420" w:firstLineChars="200"/>
              <w:rPr>
                <w:szCs w:val="21"/>
              </w:rPr>
            </w:pPr>
            <w:r>
              <w:rPr>
                <w:rFonts w:hint="eastAsia"/>
                <w:szCs w:val="21"/>
              </w:rPr>
              <w:t>抽查归档文件整理情况，</w:t>
            </w:r>
            <w:r>
              <w:rPr>
                <w:rFonts w:hint="eastAsia"/>
                <w:szCs w:val="21"/>
                <w:lang w:eastAsia="zh-CN"/>
              </w:rPr>
              <w:t>办公室</w:t>
            </w:r>
            <w:r>
              <w:rPr>
                <w:rFonts w:hint="eastAsia"/>
                <w:szCs w:val="21"/>
              </w:rPr>
              <w:t>已将文件进行了分类，按文件的名称、编号及时间装文件袋进行归档，文件较清洁，字迹清晰，检索方便，抽查有内部审核资料、管理评审资料等，均已装订成册。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记录控制基本有效。</w:t>
            </w:r>
          </w:p>
        </w:tc>
        <w:tc>
          <w:tcPr>
            <w:tcW w:w="1585"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360" w:lineRule="auto"/>
              <w:rPr>
                <w:rFonts w:hint="eastAsia" w:ascii="宋体" w:hAnsi="宋体" w:eastAsia="宋体" w:cs="宋体"/>
                <w:szCs w:val="21"/>
                <w:lang w:eastAsia="zh-CN"/>
              </w:rPr>
            </w:pPr>
            <w:r>
              <w:rPr>
                <w:rFonts w:hint="eastAsia" w:ascii="宋体" w:hAnsi="宋体" w:cs="Arial"/>
                <w:sz w:val="21"/>
                <w:szCs w:val="21"/>
              </w:rPr>
              <w:t>分析与评价</w:t>
            </w:r>
          </w:p>
        </w:tc>
        <w:tc>
          <w:tcPr>
            <w:tcW w:w="998"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0004"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体系运行状况（见管理评审输入）；对顾客满意有关的信息进行了分析，以确定顾客满意程度（见</w:t>
            </w:r>
            <w:r>
              <w:rPr>
                <w:rFonts w:hint="eastAsia" w:ascii="宋体" w:hAnsi="宋体"/>
                <w:sz w:val="21"/>
                <w:szCs w:val="21"/>
                <w:lang w:val="en-US" w:eastAsia="zh-CN"/>
              </w:rPr>
              <w:t>供销部</w:t>
            </w:r>
            <w:r>
              <w:rPr>
                <w:rFonts w:hint="eastAsia" w:ascii="宋体" w:hAnsi="宋体"/>
                <w:sz w:val="21"/>
                <w:szCs w:val="21"/>
              </w:rPr>
              <w:t>9.1.2）；</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管理体系的有效性（见</w:t>
            </w:r>
            <w:r>
              <w:rPr>
                <w:rFonts w:hint="eastAsia" w:ascii="宋体" w:hAnsi="宋体"/>
                <w:sz w:val="21"/>
                <w:szCs w:val="21"/>
                <w:lang w:val="en-US" w:eastAsia="zh-CN"/>
              </w:rPr>
              <w:t>办公室</w:t>
            </w:r>
            <w:r>
              <w:rPr>
                <w:rFonts w:hint="eastAsia" w:ascii="宋体" w:hAnsi="宋体"/>
                <w:sz w:val="21"/>
                <w:szCs w:val="21"/>
              </w:rPr>
              <w:t>9.2）。</w:t>
            </w:r>
          </w:p>
          <w:p>
            <w:pPr>
              <w:spacing w:line="360" w:lineRule="auto"/>
              <w:ind w:firstLine="420" w:firstLineChars="200"/>
              <w:rPr>
                <w:rFonts w:hint="eastAsia" w:ascii="宋体" w:hAnsi="宋体" w:cs="宋体"/>
                <w:sz w:val="21"/>
                <w:szCs w:val="21"/>
                <w:lang w:eastAsia="zh-CN"/>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管理体系的持续改进（见相关部门检查表）。</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spacing w:line="360" w:lineRule="auto"/>
              <w:rPr>
                <w:rFonts w:hint="eastAsia"/>
              </w:rPr>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272E3"/>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56977"/>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63C7E"/>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20129FE"/>
    <w:rsid w:val="021522E9"/>
    <w:rsid w:val="044B7AFE"/>
    <w:rsid w:val="051729C7"/>
    <w:rsid w:val="056D41CE"/>
    <w:rsid w:val="0A755CD1"/>
    <w:rsid w:val="0C625E1B"/>
    <w:rsid w:val="0EC6526F"/>
    <w:rsid w:val="10CC15C0"/>
    <w:rsid w:val="11200350"/>
    <w:rsid w:val="113D29BF"/>
    <w:rsid w:val="11B844E6"/>
    <w:rsid w:val="129057E6"/>
    <w:rsid w:val="12F34AEF"/>
    <w:rsid w:val="12FD2E93"/>
    <w:rsid w:val="14B90815"/>
    <w:rsid w:val="14CE341E"/>
    <w:rsid w:val="158E45BA"/>
    <w:rsid w:val="163E2E11"/>
    <w:rsid w:val="176A4559"/>
    <w:rsid w:val="1A5D4ABC"/>
    <w:rsid w:val="1A822FA7"/>
    <w:rsid w:val="1B3936B3"/>
    <w:rsid w:val="1BE846E9"/>
    <w:rsid w:val="1D4C4E60"/>
    <w:rsid w:val="1DC40F3E"/>
    <w:rsid w:val="1E17525C"/>
    <w:rsid w:val="1E4D12B6"/>
    <w:rsid w:val="1EED5939"/>
    <w:rsid w:val="241F7435"/>
    <w:rsid w:val="24EE4865"/>
    <w:rsid w:val="26C41E1E"/>
    <w:rsid w:val="26EB66E8"/>
    <w:rsid w:val="29545097"/>
    <w:rsid w:val="2A965859"/>
    <w:rsid w:val="31553C92"/>
    <w:rsid w:val="315A769F"/>
    <w:rsid w:val="328D0D90"/>
    <w:rsid w:val="32B3737A"/>
    <w:rsid w:val="332F6E2E"/>
    <w:rsid w:val="33EA6F67"/>
    <w:rsid w:val="34C52C58"/>
    <w:rsid w:val="35635C60"/>
    <w:rsid w:val="35655683"/>
    <w:rsid w:val="36106290"/>
    <w:rsid w:val="366131A6"/>
    <w:rsid w:val="36BE5965"/>
    <w:rsid w:val="38CE76F2"/>
    <w:rsid w:val="38E44796"/>
    <w:rsid w:val="391D226E"/>
    <w:rsid w:val="399F2547"/>
    <w:rsid w:val="39DF646A"/>
    <w:rsid w:val="3B4618DA"/>
    <w:rsid w:val="3E676E01"/>
    <w:rsid w:val="3ED56DC4"/>
    <w:rsid w:val="3FC72C4C"/>
    <w:rsid w:val="4074648A"/>
    <w:rsid w:val="42684491"/>
    <w:rsid w:val="45060F3E"/>
    <w:rsid w:val="47432516"/>
    <w:rsid w:val="479F541D"/>
    <w:rsid w:val="47AB2FC0"/>
    <w:rsid w:val="47D469F7"/>
    <w:rsid w:val="47D502FD"/>
    <w:rsid w:val="48012986"/>
    <w:rsid w:val="4913714F"/>
    <w:rsid w:val="49465A9C"/>
    <w:rsid w:val="4A95487A"/>
    <w:rsid w:val="4C7E4A49"/>
    <w:rsid w:val="4D6709DF"/>
    <w:rsid w:val="4DED56EF"/>
    <w:rsid w:val="4EF0704D"/>
    <w:rsid w:val="4F3B0425"/>
    <w:rsid w:val="51816C5F"/>
    <w:rsid w:val="53BC11C5"/>
    <w:rsid w:val="5493123C"/>
    <w:rsid w:val="56650644"/>
    <w:rsid w:val="56881D3B"/>
    <w:rsid w:val="57C66E86"/>
    <w:rsid w:val="57D815F2"/>
    <w:rsid w:val="592C22FA"/>
    <w:rsid w:val="5CEC63BD"/>
    <w:rsid w:val="5D502239"/>
    <w:rsid w:val="5E177A89"/>
    <w:rsid w:val="5E8414C5"/>
    <w:rsid w:val="62E8549C"/>
    <w:rsid w:val="639A03A2"/>
    <w:rsid w:val="63D305A2"/>
    <w:rsid w:val="65C94933"/>
    <w:rsid w:val="66047BEC"/>
    <w:rsid w:val="66B77DFD"/>
    <w:rsid w:val="66E749FE"/>
    <w:rsid w:val="67500C85"/>
    <w:rsid w:val="684313BC"/>
    <w:rsid w:val="689D56E8"/>
    <w:rsid w:val="690E7415"/>
    <w:rsid w:val="693E7AF0"/>
    <w:rsid w:val="697C4C83"/>
    <w:rsid w:val="69F51D33"/>
    <w:rsid w:val="6A151605"/>
    <w:rsid w:val="6B1F20DA"/>
    <w:rsid w:val="6B8345B9"/>
    <w:rsid w:val="6BAB1F7A"/>
    <w:rsid w:val="6CFD42CE"/>
    <w:rsid w:val="6E3312F4"/>
    <w:rsid w:val="6FC67861"/>
    <w:rsid w:val="70DC511F"/>
    <w:rsid w:val="70F12CCB"/>
    <w:rsid w:val="711D594D"/>
    <w:rsid w:val="71637404"/>
    <w:rsid w:val="723164F6"/>
    <w:rsid w:val="72DA6CFE"/>
    <w:rsid w:val="72DE59CA"/>
    <w:rsid w:val="73371E1F"/>
    <w:rsid w:val="7367290E"/>
    <w:rsid w:val="73C01D14"/>
    <w:rsid w:val="747D06DB"/>
    <w:rsid w:val="752D00F5"/>
    <w:rsid w:val="76B43CA8"/>
    <w:rsid w:val="789B5077"/>
    <w:rsid w:val="79F9658E"/>
    <w:rsid w:val="7A172C96"/>
    <w:rsid w:val="7A3F072B"/>
    <w:rsid w:val="7A695463"/>
    <w:rsid w:val="7AB34E8A"/>
    <w:rsid w:val="7AD237C2"/>
    <w:rsid w:val="7BC807EB"/>
    <w:rsid w:val="7BDB0938"/>
    <w:rsid w:val="7F68387A"/>
    <w:rsid w:val="7FD94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paragraph" w:customStyle="1" w:styleId="1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0</TotalTime>
  <ScaleCrop>false</ScaleCrop>
  <LinksUpToDate>false</LinksUpToDate>
  <CharactersWithSpaces>5211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郭力</cp:lastModifiedBy>
  <dcterms:modified xsi:type="dcterms:W3CDTF">2021-05-26T23:46:02Z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6F17370F7D3A4D0FAC539796BD8CA9ED</vt:lpwstr>
  </property>
</Properties>
</file>