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办公室/财务部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杨秧秧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冯勇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李俐      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审核条款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6.1、6.2、9.1.1、9.2、10.2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      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6.1.2、8.1、8.2、9.1.1、9.1.2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O：6.1.3、6.1.4、6.2.1、6.2.2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螺旋（双）转子流量计、普通电磁流量计、楔形流量计、三转子流量计、指示型转子流量计、螺旋单转子流量计、智能控制注水仪、金属刮板流量计、旋进漩涡气体流量计、质量流量计的生产及销售</w:t>
            </w:r>
            <w:r>
              <w:rPr>
                <w:rFonts w:hint="eastAsia" w:ascii="宋体" w:hAnsi="宋体" w:cs="宋体"/>
                <w:szCs w:val="21"/>
              </w:rPr>
              <w:t>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杨秧秧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应对风险和机遇的措施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Q6.1</w:t>
            </w:r>
          </w:p>
          <w:p>
            <w:pPr>
              <w:spacing w:line="360" w:lineRule="auto"/>
            </w:pPr>
            <w:r>
              <w:t>E6.1.1</w:t>
            </w:r>
          </w:p>
          <w:p>
            <w:pPr>
              <w:spacing w:line="360" w:lineRule="auto"/>
            </w:pPr>
            <w:r>
              <w:t>O6.1.1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1.质量风险与机遇：直接产品质量风险与机遇、间接产品质量风险与机遇。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环境风险与机遇：主要有自然、人文、政治、经济以及其他。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3.经营风险与机遇：主要有员工、设备、供销链、技术、管理、产品、法律、专利及产权。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4.市场风险与机遇：包括市场容量、竞争力、价格、促销。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5.财务风险与机遇：有融资/筹资、资金偿还、资金使用、资金回收、效益分配。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在策划管理体系时考虑了风险和机遇以及相应的应对措施，制定了《风险和机遇分析、评价和应对措施的确定程序》，明确风险和机遇事件的识别方法/途径、风险和机遇事件的评估方式，制定了《企业风险和机遇应对策划表》识别主要风险和机遇事件、应对措施的要求、评价措施有效性等。在管理体系所确定的过程（生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Cs w:val="21"/>
              </w:rPr>
              <w:t>、供应商的要求等）中，整合制定针对性管理措施（如程序控制等）。提供了“企业风险和机遇应当策划表”，已认真对市场与经营环境风险、重大投资决策失误、采购质量分析、运营规划不当等，主要措施参加行业会议收集行业政策，分析市场环境；每年度公司对生产规模、投资决策企业发展方向根据实际情况召开中层会议讨论作出决策；新购设备，设备技改等，要求项目部相关人员制定方案，采取多方比较，综合考虑；应对措施效果待观察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危险源辨识、风险评估及控制措施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EO:6.1.2/6.1.4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提供《环境因素识别排查表》，其中包括办公区、生产区等，包括固废排放、意外火灾、原材料损耗、废气排放、噪声排放等。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可以提供《重要环境因素识别清单》，其中重要环境因素：资源能源消耗、固体废弃物排放、噪声排放、火灾的发生，评价准确。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《危险源识别清单》，按照活动、区域进行了识别，其中包括：电脑、打印机、复印机产生的辐射；电源电器老化损坏、违章用电、地面油污水滑跌倒、障碍物挡路、爆炸、火灾、触电、机械伤害、物体打击、噪声伤害等，评价基本全面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提供《重大危险源及其控制清单》，其中重大危险源：火灾、触电、机械伤害、噪声伤害，评价准确。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法律法规和其他要求和合规性评价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6.1.3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9.1.2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法律法规及其他要求控制程序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合规性评价控制程序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等，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提供公司适用的法律法规及要求清单，主要有质量法、合同法、环境保护法、环境噪声污染防治法、劳动法、消防法、环境空气质量标准、固体废弃物环境防治法、仓库防火安全管理规则、劳动保护用品管理规定、GB12348-2008《工业企业厂界环境噪声排放标准》、GB3095-2012《环境空气质量标准》、GBZ2-2007《工作场所有害因素职业接触限值》、GB/T19001-2016《质量管理体系 要求》、GB/T24001-2016《环境管理体系 要求及使用指南》、GB/T28001-2011《职业健康安全管理体系 要求》及相关产品标准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产品执行的标准：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管道式电磁流量计在线校准要求CJ/T 364-2011、湿式气体流量计DB50/T 541-2014、封闭管道中气体流量的测量 涡轮流量计GB/T 18940-2003、封闭管道中流体流量的测量 热式质量流量计GB/T 20727-2006、流体流量测量 流量计性能表述方法GB/T 22133-2008、智能气体流量计GB/T 28848-2012、基于HART协议的电磁流量计通用技术条件GB/T 29815-2013、基于HART协议的质量流量计通用技术条件GB/T 29818-2013、科里奥利质量流量计GB/T 31130-2014、气体流量计GB/T 32201-2015、气体旋进旋涡流量计GB/T 36241-2018、螺旋双转子流量计JB/T 13391-2018、涡街流量计JB/T 9249-2015、流量计量名词术语及定义JJF 1004-2004、质量流量计检定规程JJG (石化) 001-1995、涡轮流量计检定规程JJG 1037-2008、三转子流量计Q/SXXL007-2015、双转子流量计Q/SXXL005-2015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《商品经营服务质量管理规范》GB/T16868-2009等；</w:t>
            </w:r>
          </w:p>
          <w:p>
            <w:pPr>
              <w:spacing w:line="360" w:lineRule="auto"/>
              <w:ind w:left="360"/>
              <w:rPr>
                <w:rFonts w:hint="eastAsia"/>
              </w:rPr>
            </w:pPr>
            <w:r>
              <w:rPr>
                <w:rFonts w:hint="eastAsia"/>
              </w:rPr>
              <w:t>获取方式：网上查录或购买，经查阅为现行有效版本，目前满足体系运行需要。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查合规性评价：20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日进行合规性评价，提供了《合规性评价表》，内容包括：活动场所/产品/服务、重要环境因素、不可接受风险、现有控制措施、适用的法律法规及其对应条款、符合性评价等。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评价了相关的法律法规，涉及火灾、固废排放、资源消耗、机械伤害、触电等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评价结果：公司能够按照有关法律法规、公司文件进行控制、检查，能够遵守国家、地方的法律法规，合规性评价符合要求。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批准/日期：</w:t>
            </w:r>
            <w:r>
              <w:rPr>
                <w:rFonts w:hint="eastAsia"/>
                <w:sz w:val="21"/>
                <w:szCs w:val="21"/>
                <w:lang w:eastAsia="zh-CN"/>
              </w:rPr>
              <w:t>赵新时</w:t>
            </w:r>
            <w:r>
              <w:rPr>
                <w:rFonts w:hint="eastAsia"/>
                <w:sz w:val="21"/>
                <w:szCs w:val="21"/>
              </w:rPr>
              <w:t xml:space="preserve"> 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经查合规性评价基本符合要求。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Q6.2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6.2.1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出示了20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年度目标完成情况如下：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部门目标：               考核情况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文件发放有效率100%；     100%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培训计划完成率98%；      100%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固废分类处置率100%；      100%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安全及火灾事故为0；         0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环保安全资金落实率100%    100%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每3个月进行一次考核，目标基本实现。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考核人： </w:t>
            </w:r>
            <w:r>
              <w:rPr>
                <w:rFonts w:hint="eastAsia"/>
                <w:sz w:val="21"/>
                <w:szCs w:val="21"/>
                <w:lang w:eastAsia="zh-CN"/>
              </w:rPr>
              <w:t>杨秧秧</w:t>
            </w:r>
            <w:r>
              <w:rPr>
                <w:rFonts w:hint="eastAsia"/>
                <w:sz w:val="21"/>
                <w:szCs w:val="21"/>
              </w:rPr>
              <w:t xml:space="preserve">    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抽查管理方案情况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环境目标指标：废弃物100%分类堆放处置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案：1.对员工进行相应的培训；并加强日常的宣传、教育，确保固废集中收存；2.加强过程控制，工序改善、工艺改进、操作规范、实现固体废弃物最小化要求；3.设定专门的垃圾存入场所，做好防雨、防风、防渗漏，杜绝二次污染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完成时间：20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 xml:space="preserve">.1-12费用5000元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责任部门：各部门，监控部门：办公室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另抽杜绝火灾事故管理方案以上类似，措施基本可行。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职业健康安全目标实现措施策划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按《危险源辨识、风险评价和控制措施的确定》识别的重大危险制定管理措施，制定《相关方控制程序》等文件；由</w:t>
            </w: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统一管理。基本不涉及重大法规要求的不可接受的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环境和安全风险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安全目标、指标：火灾事故发生率为0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措施：强化安全思想教育培训，认真学习安全规程；配备符合要求的安全工器具；电源电线与化学品易燃物分开.....。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完成时间20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.1~12费用：3000元 责任部门：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/办公室等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•安全目标、指标：职业病发生率为0，员工按计划体检率100%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管理方案：为操作人员配备劳保用品，每年按计划为员工进行体检.....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完成时间：20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.1~12费用：5000元 责任部门：办公室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另查看重大安全事故为0，轻伤事故≤3起/年的管理方案以上类似，措施基本可行。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每季度组织一次对目标、指标管理方案进行程度、完成情况的考核，提供安全目标、指标考核记录，20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-2021.3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的目标、指标管理方案完成情况考核，达到了阶段性的目标要求。</w:t>
            </w:r>
          </w:p>
          <w:p>
            <w:pPr>
              <w:spacing w:line="360" w:lineRule="auto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制定的指标和管理方案基本可行。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360" w:lineRule="auto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运行策划和控制</w:t>
            </w:r>
          </w:p>
          <w:p>
            <w:pPr>
              <w:spacing w:line="360" w:lineRule="auto"/>
              <w:rPr>
                <w:b/>
                <w:szCs w:val="21"/>
                <w:u w:val="none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b/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E</w:t>
            </w:r>
            <w:r>
              <w:rPr>
                <w:szCs w:val="21"/>
                <w:u w:val="none"/>
              </w:rPr>
              <w:t>O</w:t>
            </w:r>
            <w:r>
              <w:rPr>
                <w:rFonts w:hint="eastAsia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</w:rPr>
              <w:t>本部门应执行的运行控制文件：</w:t>
            </w:r>
            <w:r>
              <w:rPr>
                <w:rFonts w:hint="eastAsia"/>
                <w:sz w:val="21"/>
                <w:szCs w:val="21"/>
                <w:lang w:val="en-GB"/>
              </w:rPr>
              <w:t>《运行控制程序》、《资源、能源管理规定》《固体废弃物管理规定》、《</w:t>
            </w:r>
            <w:r>
              <w:rPr>
                <w:rFonts w:hint="eastAsia"/>
                <w:sz w:val="21"/>
                <w:szCs w:val="21"/>
              </w:rPr>
              <w:t>消防安全控制程序》、《安全教育制度》。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运行控制情况：办公过程注意节约用电，做到人走灯灭，电脑长时间不用时关机，下班前要关闭电源；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办公用品按要求由</w:t>
            </w:r>
            <w:r>
              <w:rPr>
                <w:rFonts w:hint="eastAsia"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  <w:lang w:val="en-GB"/>
              </w:rPr>
              <w:t>负责发放，作好记录；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相关方施加影响：公司能够控制或能够施加影响的相关方有周边商户、固体废弃物处理等。提供了“致相关方的公开信”，将公司关于采购物资、固体废弃物处理等方面环境控制要求发放到了周边商户，督促影响各相关方按照环境管理体系要求对环境施加影响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公司办公产生的废硒鼓、废墨盒、色带由供应方公司回收；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  <w:lang w:val="en-GB"/>
              </w:rPr>
              <w:t>每天巡视现场，对环境安全事宜进行检查，发现问题当即纠正；每月进行检查统计分析，查</w:t>
            </w:r>
            <w:r>
              <w:rPr>
                <w:rFonts w:hint="eastAsia"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检查记录，各部门运行情况良好。检查人：</w:t>
            </w:r>
            <w:r>
              <w:rPr>
                <w:rFonts w:hint="eastAsia"/>
                <w:sz w:val="21"/>
                <w:szCs w:val="21"/>
                <w:lang w:eastAsia="zh-CN"/>
              </w:rPr>
              <w:t>杨秧秧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废弃物统计表：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抽废纸   数量：</w:t>
            </w:r>
            <w:r>
              <w:rPr>
                <w:rFonts w:hint="eastAsia"/>
                <w:sz w:val="21"/>
                <w:szCs w:val="21"/>
              </w:rPr>
              <w:t>10kg</w:t>
            </w:r>
            <w:r>
              <w:rPr>
                <w:rFonts w:hint="eastAsia"/>
                <w:sz w:val="21"/>
                <w:szCs w:val="21"/>
                <w:lang w:val="en-GB"/>
              </w:rPr>
              <w:t xml:space="preserve">  处置方式：变卖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处置时间：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.8.30</w:t>
            </w:r>
            <w:r>
              <w:rPr>
                <w:rFonts w:hint="eastAsia"/>
                <w:sz w:val="21"/>
                <w:szCs w:val="21"/>
                <w:lang w:val="en-GB"/>
              </w:rPr>
              <w:t xml:space="preserve">  经办人：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冯勇</w:t>
            </w:r>
            <w:r>
              <w:rPr>
                <w:rFonts w:hint="eastAsia"/>
                <w:sz w:val="21"/>
                <w:szCs w:val="21"/>
                <w:lang w:val="en-GB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公司为员工缴纳了工伤保险，提供了缴纳保险的证据。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为员工配备了安全防护设施—提供《劳保用品发放记录》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查阅：主要劳保用品为：线手套、洗衣粉、胶手套、口罩、创口贴 、纱布、线手套、胶手套，记录了发放时间、领用人等，发放人：。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办公区固废；现在分类集中存放，及时处理，防止意外火灾。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驾驶员要求遵守道路交通安全法，不违章驾车，驾驶证和车辆定期年审，确保行车安全；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对职业健康安全方面的资金投入情况（</w:t>
            </w:r>
            <w:r>
              <w:rPr>
                <w:rFonts w:hint="eastAsia"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教育资料培训费1200元；劳保用品购置费2500元；设施维修保障费3000元；保险购买费5000元；消防器材1500元</w:t>
            </w:r>
          </w:p>
          <w:p>
            <w:pPr>
              <w:spacing w:line="360" w:lineRule="auto"/>
              <w:rPr>
                <w:rFonts w:hint="eastAsia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现场查看办公区域配备有符合要求的灭火器等，办公室设备、电器状态良好，无安全隐患。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360" w:lineRule="auto"/>
              <w:rPr>
                <w:b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21"/>
                <w:u w:val="none"/>
              </w:rPr>
              <w:t>应急响应和准备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E</w:t>
            </w:r>
            <w:r>
              <w:rPr>
                <w:szCs w:val="21"/>
                <w:u w:val="none"/>
              </w:rPr>
              <w:t>O</w:t>
            </w:r>
            <w:r>
              <w:rPr>
                <w:rFonts w:hint="eastAsia"/>
                <w:szCs w:val="21"/>
                <w:u w:val="none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1、查策划有《应急准备与响应控制程序》，编制有《火灾事故应急预案》。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2、应急准备工作开展以下活动：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——建立有应急组织，提供出应急组织机构图、消防队人员名单、职责权限规定等。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——配备相应的消防器材。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——进行消防常识和能力的培训、潜在的火灾爆炸的常识和能力的培训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3、该部门介绍开展了消防器材的使用和人员紧急疏散演练活动：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提供有20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日“消防演习计划”。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——演练时间：20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日13：30；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——演练组织部门：办公室；参加人员：全体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——对消防应急预案的适用性、可操作性进行评审；符合要求。</w:t>
            </w:r>
          </w:p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zh-CN"/>
              </w:rPr>
              <w:t>现场查看，办公区域配置了灭火器，在有效期内。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绩效 总则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Q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9.1.1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对管理体系的过程能力进行监视和测量，通过内审对管理体系运行的符合性和有效性进行监测，结论管理体系总体运行有效。详见审核9.2条款；通过管理评审对管理体系的充分性、有效性和适宜性作了肯定的评价。详见审核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条款记录；通过目标考评，监测管理体系运行的有效性，提供了20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-2021.3</w:t>
            </w:r>
            <w:r>
              <w:rPr>
                <w:rFonts w:hint="eastAsia" w:ascii="宋体" w:hAnsi="宋体" w:cs="宋体"/>
                <w:szCs w:val="21"/>
              </w:rPr>
              <w:t>的目标完成情况，公司及各部门的管理目标均能完成。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分析与评价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Q9.1.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经查：部门根据监视和测量获得的数据和信息，组织相关部门进行了分析评价。包括：对公司及各部门质量目标完成情见进行分析，确定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体系运行状况（见管理评审输入）；对顾客满意有关的信息进行了分析，以确定顾客满意程度（见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/>
                <w:sz w:val="21"/>
                <w:szCs w:val="21"/>
              </w:rPr>
              <w:t>9.1.2）；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对内部审核的有关信息和应对风险措施的有效性进行分析，以确定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管理体系的有效性（见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/>
                <w:sz w:val="21"/>
                <w:szCs w:val="21"/>
              </w:rPr>
              <w:t>9.2）。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部门在汇总以上分析结果的基础上，分析针对风险和机遇所采取措施的有效性，积极寻找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管理体系持续改进的机会，通过管理评审会议的改进决策进行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管理体系的持续改进（见相关部门检查表）。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监视、测量、分析与评估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E9.1 </w:t>
            </w:r>
          </w:p>
          <w:p>
            <w:pPr>
              <w:spacing w:line="360" w:lineRule="auto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O</w:t>
            </w:r>
            <w:bookmarkStart w:id="0" w:name="_GoBack"/>
            <w:bookmarkEnd w:id="0"/>
            <w:r>
              <w:rPr>
                <w:rFonts w:hint="eastAsia" w:ascii="宋体" w:hAnsi="宋体" w:cs="新宋体"/>
                <w:szCs w:val="21"/>
              </w:rPr>
              <w:t>9.1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----有《环境与职业健康安全运行管理制度》和管理文件。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◆查公司环境安全运行检查记录表</w:t>
            </w:r>
          </w:p>
          <w:p>
            <w:pPr>
              <w:spacing w:line="360" w:lineRule="auto"/>
              <w:ind w:firstLine="210" w:firstLineChars="100"/>
              <w:rPr>
                <w:rFonts w:hint="eastAsia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程序文件规定公司每月由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组织人员对公司办公场所和服务场所的环境方面、安全消防方面的工程作业固体废弃物处理、生活垃圾处理、消防器材保养和检查等进行检查，检查结论：合格。提供有20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月至20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月份的安全环境检查月报记录。</w:t>
            </w:r>
          </w:p>
          <w:p>
            <w:pPr>
              <w:pStyle w:val="8"/>
              <w:spacing w:line="360" w:lineRule="auto"/>
              <w:ind w:firstLine="5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查《劳保用品分发记录》，公司为员工提供了劳保用品，主要为防暑用品、手套、工作服、口罩、消毒洗手液等防护用品。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/>
                <w:szCs w:val="21"/>
              </w:rPr>
              <w:t>运行控制基本符合规定要求。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部门运行控制能结合产品生命周期方法，基本符合规定要求。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</w:rPr>
              <w:t>内部审核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</w:rPr>
              <w:t>QE</w:t>
            </w:r>
            <w:r>
              <w:rPr>
                <w:u w:val="none"/>
              </w:rPr>
              <w:t>O</w:t>
            </w:r>
            <w:r>
              <w:rPr>
                <w:rFonts w:hint="eastAsia"/>
                <w:u w:val="none"/>
              </w:rPr>
              <w:t>9.</w:t>
            </w:r>
            <w:r>
              <w:rPr>
                <w:u w:val="none"/>
              </w:rPr>
              <w:t>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编制《内部审核控制程序》，基本符合标准要求。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经查问：总经理、管代、各部门主管均经培训并参加了内部审核。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16-17</w:t>
            </w:r>
            <w:r>
              <w:rPr>
                <w:rFonts w:hint="eastAsia"/>
                <w:sz w:val="21"/>
                <w:szCs w:val="21"/>
              </w:rPr>
              <w:t>开展内部审核活动，并提供有以下内审的资料：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——《审核实施计划》，批准：</w:t>
            </w:r>
            <w:r>
              <w:rPr>
                <w:rFonts w:hint="eastAsia"/>
                <w:sz w:val="21"/>
                <w:szCs w:val="21"/>
                <w:lang w:eastAsia="zh-CN"/>
              </w:rPr>
              <w:t>赵新时</w:t>
            </w:r>
            <w:r>
              <w:rPr>
                <w:rFonts w:hint="eastAsia"/>
                <w:sz w:val="21"/>
                <w:szCs w:val="21"/>
              </w:rPr>
              <w:t>。计划中规定审核的目的、依据、范围、时间、审核安排；审核组成员。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计划中没有漏标准条款、没有遗漏体系覆盖的部门和场所，内审员没有审核自己的工作。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——内审首末次会议签到（领导层、各部门负责人）；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spacing w:line="360" w:lineRule="auto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——本次内审发现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项不合格，为一般不符合项，查看《不符合报告》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查2020年3月14日销售部未对“陕西晨希齿轮有限公司”进行供应商评价。不符合GB/T 19001-2016标准中8.4.1条款的要求。不符合原因分析准确，并制定了纠正及纠正预防措施，且措施可行，并对其有效性进行了验证，验证人：</w:t>
            </w:r>
            <w:r>
              <w:rPr>
                <w:rFonts w:hint="eastAsia"/>
                <w:sz w:val="21"/>
                <w:szCs w:val="21"/>
                <w:lang w:eastAsia="zh-CN"/>
              </w:rPr>
              <w:t>杨秧秧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6.18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结论：公司的质量、环境、职业健康安全管理体系基本符合标准要求，且适宜、有效。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不符合/事件和纠正措施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QE</w:t>
            </w:r>
            <w:r>
              <w:rPr>
                <w:u w:val="none"/>
              </w:rPr>
              <w:t>O</w:t>
            </w:r>
            <w:r>
              <w:rPr>
                <w:rFonts w:hint="eastAsia"/>
                <w:u w:val="none"/>
                <w:lang w:val="en-US" w:eastAsia="zh-CN"/>
              </w:rPr>
              <w:t>10</w:t>
            </w:r>
            <w:r>
              <w:rPr>
                <w:rFonts w:hint="eastAsia"/>
                <w:u w:val="none"/>
              </w:rPr>
              <w:t>.</w:t>
            </w:r>
            <w:r>
              <w:rPr>
                <w:u w:val="none"/>
              </w:rPr>
              <w:t>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0"/>
              <w:jc w:val="left"/>
              <w:rPr>
                <w:rFonts w:hint="default"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查：公司编制有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不符合控制程序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《纠正措施控制程序》，规定了发现不合格应采取纠正措施的具体要求，并按要求进行了控制。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default"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抽查内审《不符合报告》，针对内审中发现的不合格事实，责任部门进行了原因分析，制定了纠正措施并实施，涉及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cs="Times New Roman"/>
                <w:szCs w:val="21"/>
                <w:u w:val="none"/>
                <w:lang w:val="en-US" w:eastAsia="zh-CN"/>
              </w:rPr>
              <w:t>8.4.1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  <w:lang w:val="en-US" w:eastAsia="zh-CN"/>
              </w:rPr>
              <w:t>条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款的不符合项，经验证整改有效。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体系运行的</w:t>
            </w:r>
            <w:r>
              <w:rPr>
                <w:rFonts w:hint="default" w:ascii="Times New Roman" w:hAnsi="Times New Roman" w:eastAsia="宋体" w:cs="Times New Roman"/>
                <w:szCs w:val="21"/>
                <w:u w:val="none"/>
              </w:rPr>
              <w:t>其他方面经过日常工作检查和数据分析，暂未发现应采取纠正和预防措施的机会。日后应进一步加大日常工作检查力度，及时发现不符合及潜在不符合并及时采取相应措施，持续改进体系的有效性。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09" w:type="dxa"/>
            <w:gridSpan w:val="4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B19FF"/>
    <w:rsid w:val="001C57A3"/>
    <w:rsid w:val="001F0E7B"/>
    <w:rsid w:val="001F37CF"/>
    <w:rsid w:val="001F77E0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832CA"/>
    <w:rsid w:val="00497971"/>
    <w:rsid w:val="004B20B2"/>
    <w:rsid w:val="004B4B24"/>
    <w:rsid w:val="004D14C1"/>
    <w:rsid w:val="004D6FC5"/>
    <w:rsid w:val="004E6448"/>
    <w:rsid w:val="004E7665"/>
    <w:rsid w:val="004E7D7E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676DC"/>
    <w:rsid w:val="005A2330"/>
    <w:rsid w:val="005A23B2"/>
    <w:rsid w:val="005B6C34"/>
    <w:rsid w:val="005D2531"/>
    <w:rsid w:val="005F04E5"/>
    <w:rsid w:val="00621578"/>
    <w:rsid w:val="00621EA2"/>
    <w:rsid w:val="006256EF"/>
    <w:rsid w:val="00646303"/>
    <w:rsid w:val="0066353B"/>
    <w:rsid w:val="00663A52"/>
    <w:rsid w:val="00665E60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469D5"/>
    <w:rsid w:val="0075560B"/>
    <w:rsid w:val="00756C63"/>
    <w:rsid w:val="00761387"/>
    <w:rsid w:val="00774749"/>
    <w:rsid w:val="007861D2"/>
    <w:rsid w:val="00797BA7"/>
    <w:rsid w:val="007B4E33"/>
    <w:rsid w:val="007C5A7D"/>
    <w:rsid w:val="007C6A31"/>
    <w:rsid w:val="007D3A58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1D5E"/>
    <w:rsid w:val="0092791F"/>
    <w:rsid w:val="00954D65"/>
    <w:rsid w:val="00955C0E"/>
    <w:rsid w:val="00976860"/>
    <w:rsid w:val="00991AEB"/>
    <w:rsid w:val="00992529"/>
    <w:rsid w:val="009977CF"/>
    <w:rsid w:val="009B1072"/>
    <w:rsid w:val="00A01526"/>
    <w:rsid w:val="00A23D1B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239E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A22F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080"/>
    <w:rsid w:val="00E97654"/>
    <w:rsid w:val="00EA2EA2"/>
    <w:rsid w:val="00EB1A5C"/>
    <w:rsid w:val="00EB6AAC"/>
    <w:rsid w:val="00ED41DC"/>
    <w:rsid w:val="00EE43A0"/>
    <w:rsid w:val="00EE6BAB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1F3"/>
    <w:rsid w:val="00FF0A51"/>
    <w:rsid w:val="00FF1D21"/>
    <w:rsid w:val="00FF5E6D"/>
    <w:rsid w:val="020129FE"/>
    <w:rsid w:val="021522E9"/>
    <w:rsid w:val="024F7BCF"/>
    <w:rsid w:val="032B7C93"/>
    <w:rsid w:val="047D4E9D"/>
    <w:rsid w:val="04B03A25"/>
    <w:rsid w:val="056D41CE"/>
    <w:rsid w:val="07377923"/>
    <w:rsid w:val="078522A3"/>
    <w:rsid w:val="081310A2"/>
    <w:rsid w:val="092F489E"/>
    <w:rsid w:val="098A2598"/>
    <w:rsid w:val="0A7418F7"/>
    <w:rsid w:val="0A755CD1"/>
    <w:rsid w:val="0B5E05CB"/>
    <w:rsid w:val="0C625E1B"/>
    <w:rsid w:val="0DE3632D"/>
    <w:rsid w:val="0EC6526F"/>
    <w:rsid w:val="10CC15C0"/>
    <w:rsid w:val="113D29BF"/>
    <w:rsid w:val="116E4D89"/>
    <w:rsid w:val="11B844E6"/>
    <w:rsid w:val="129057E6"/>
    <w:rsid w:val="12FD2E93"/>
    <w:rsid w:val="158E45BA"/>
    <w:rsid w:val="163E2E11"/>
    <w:rsid w:val="167769A9"/>
    <w:rsid w:val="1A822FA7"/>
    <w:rsid w:val="1B3936B3"/>
    <w:rsid w:val="1BE846E9"/>
    <w:rsid w:val="1DC40F3E"/>
    <w:rsid w:val="1E17525C"/>
    <w:rsid w:val="1EC7308C"/>
    <w:rsid w:val="1EED5939"/>
    <w:rsid w:val="1F591E4B"/>
    <w:rsid w:val="20784D0C"/>
    <w:rsid w:val="2149754D"/>
    <w:rsid w:val="227B4D7D"/>
    <w:rsid w:val="22E81A15"/>
    <w:rsid w:val="24EE4865"/>
    <w:rsid w:val="257A46A2"/>
    <w:rsid w:val="26EB66E8"/>
    <w:rsid w:val="2EBF1259"/>
    <w:rsid w:val="2FC21785"/>
    <w:rsid w:val="315A769F"/>
    <w:rsid w:val="328D0D90"/>
    <w:rsid w:val="332F6E2E"/>
    <w:rsid w:val="33EC0E30"/>
    <w:rsid w:val="35655683"/>
    <w:rsid w:val="357462AA"/>
    <w:rsid w:val="36106290"/>
    <w:rsid w:val="366131A6"/>
    <w:rsid w:val="36BE5965"/>
    <w:rsid w:val="37203C8D"/>
    <w:rsid w:val="37E42671"/>
    <w:rsid w:val="38B77B12"/>
    <w:rsid w:val="38CE76F2"/>
    <w:rsid w:val="38E44796"/>
    <w:rsid w:val="391D226E"/>
    <w:rsid w:val="395F4350"/>
    <w:rsid w:val="39DF646A"/>
    <w:rsid w:val="3B7924D0"/>
    <w:rsid w:val="3D2B29BB"/>
    <w:rsid w:val="3E676E01"/>
    <w:rsid w:val="3ED56DC4"/>
    <w:rsid w:val="3F1E1F7C"/>
    <w:rsid w:val="4074648A"/>
    <w:rsid w:val="418C5867"/>
    <w:rsid w:val="42684491"/>
    <w:rsid w:val="435A28E4"/>
    <w:rsid w:val="43FB2AF0"/>
    <w:rsid w:val="45060F3E"/>
    <w:rsid w:val="47432516"/>
    <w:rsid w:val="47580731"/>
    <w:rsid w:val="47AB2FC0"/>
    <w:rsid w:val="47D469F7"/>
    <w:rsid w:val="47EC179A"/>
    <w:rsid w:val="48012986"/>
    <w:rsid w:val="4913714F"/>
    <w:rsid w:val="49A759DC"/>
    <w:rsid w:val="4A95487A"/>
    <w:rsid w:val="4C7E4A49"/>
    <w:rsid w:val="4DED56EF"/>
    <w:rsid w:val="4EF0704D"/>
    <w:rsid w:val="4EFE3272"/>
    <w:rsid w:val="4F3B0425"/>
    <w:rsid w:val="4FD138C7"/>
    <w:rsid w:val="51816C5F"/>
    <w:rsid w:val="52630829"/>
    <w:rsid w:val="52C15ED1"/>
    <w:rsid w:val="539532BF"/>
    <w:rsid w:val="5493123C"/>
    <w:rsid w:val="5827195E"/>
    <w:rsid w:val="5E407D9F"/>
    <w:rsid w:val="5E8414C5"/>
    <w:rsid w:val="62C20DB6"/>
    <w:rsid w:val="62E8549C"/>
    <w:rsid w:val="639A03A2"/>
    <w:rsid w:val="641807B5"/>
    <w:rsid w:val="67500C85"/>
    <w:rsid w:val="689D56E8"/>
    <w:rsid w:val="690E7415"/>
    <w:rsid w:val="693E7AF0"/>
    <w:rsid w:val="69F51D33"/>
    <w:rsid w:val="6B8122DC"/>
    <w:rsid w:val="6C0A5707"/>
    <w:rsid w:val="6E3312F4"/>
    <w:rsid w:val="6EA44CFD"/>
    <w:rsid w:val="6FC67861"/>
    <w:rsid w:val="723164F6"/>
    <w:rsid w:val="729B5296"/>
    <w:rsid w:val="72DA6CFE"/>
    <w:rsid w:val="73371E1F"/>
    <w:rsid w:val="7367290E"/>
    <w:rsid w:val="73C01D14"/>
    <w:rsid w:val="746D0F84"/>
    <w:rsid w:val="747D06DB"/>
    <w:rsid w:val="752D00F5"/>
    <w:rsid w:val="76B43CA8"/>
    <w:rsid w:val="789B5077"/>
    <w:rsid w:val="7A172C96"/>
    <w:rsid w:val="7A3F072B"/>
    <w:rsid w:val="7A695463"/>
    <w:rsid w:val="7AD237C2"/>
    <w:rsid w:val="7BC807EB"/>
    <w:rsid w:val="7C1F2EA3"/>
    <w:rsid w:val="7EE530FF"/>
    <w:rsid w:val="7F68387A"/>
    <w:rsid w:val="7F974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ucida Sans" w:hAnsi="Lucida Sans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779</Words>
  <Characters>4442</Characters>
  <Lines>37</Lines>
  <Paragraphs>10</Paragraphs>
  <TotalTime>13</TotalTime>
  <ScaleCrop>false</ScaleCrop>
  <LinksUpToDate>false</LinksUpToDate>
  <CharactersWithSpaces>5211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李俐</cp:lastModifiedBy>
  <dcterms:modified xsi:type="dcterms:W3CDTF">2021-05-28T01:41:19Z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F4B502BF0F4043C1B51B44234B02DAD2</vt:lpwstr>
  </property>
</Properties>
</file>