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陕西鑫联仪器仪表有限公司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0373-2021-QEO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杨秧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029-86295051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157863763@qq.com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Q：螺旋（双）转子流量计、普通电磁流量计、楔形流量计、三转子流量计、指示型转子流量计、螺旋单转子流量计、智能控制注水仪、金属刮板流量计、旋进漩涡气体流量计、质量流量计的生产及销售</w:t>
            </w:r>
          </w:p>
          <w:p>
            <w:r>
              <w:t>E：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环境管理活动</w:t>
            </w:r>
          </w:p>
          <w:p>
            <w:r>
              <w:t>O：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Q：19.05.01</w:t>
            </w:r>
          </w:p>
          <w:p>
            <w:r>
              <w:t>E：19.05.01</w:t>
            </w:r>
          </w:p>
          <w:p>
            <w:r>
              <w:t>O：19.05.01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2021年05月05日 下午至2021年05月06日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-555625</wp:posOffset>
                  </wp:positionH>
                  <wp:positionV relativeFrom="paragraph">
                    <wp:posOffset>-1184275</wp:posOffset>
                  </wp:positionV>
                  <wp:extent cx="7487920" cy="10725785"/>
                  <wp:effectExtent l="0" t="0" r="5080" b="5715"/>
                  <wp:wrapNone/>
                  <wp:docPr id="3" name="图片 3" descr="扫描全能王 2021-05-24 08.2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5-24 08.22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920" cy="1072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43815</wp:posOffset>
                  </wp:positionV>
                  <wp:extent cx="421640" cy="324485"/>
                  <wp:effectExtent l="0" t="0" r="10160" b="571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83"/>
        <w:gridCol w:w="655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1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5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2021.5.5</w:t>
            </w: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2021.5.6</w:t>
            </w: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1476" w:firstLineChars="7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Merge w:val="restart"/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  <w:szCs w:val="22"/>
              </w:rPr>
              <w:t>:00-1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b/>
                <w:sz w:val="20"/>
              </w:rPr>
              <w:t>0-12.00</w:t>
            </w: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现场经营地：陕西省西安市莲湖区未央路12号世纪金园B座1904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/西安市阎良区航空四路37号</w:t>
            </w:r>
          </w:p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重点是与质量、职业健康安全活动有关的场所及公司周边环境进行观察。</w:t>
            </w:r>
            <w:bookmarkStart w:id="14" w:name="_GoBack"/>
            <w:bookmarkEnd w:id="14"/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、技术质量部、办公室、生产部、销售部、财务部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了解受审核方管理体系策划情况。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确定认证范围和经营场所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了解受审核方文件、外来文件和职业健康安全适用法律法规及其他要求控制情况；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了解受审核方是否策划和实施了内部审核；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了解管理评审控制情况；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了解财务资金投入情况等。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了解审核方对产品实现过程的策划、实施和监视测量情况，工程施工中的关键过程和需确认过程的识别和控制状况；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识别过程所形成的文件和记录的适宜性和充分性；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监视与测量资源和工作环境对产品质量的保障情况: 监视与测量资源日常管控受控情况等。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了解受审核方采购、销售的实施控制情况；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了解受审核方生产过程、销售过程、采购过程、办公过程危险源识别、重大危险源控制措施策划，合规性评价；职业健康安全管理体系运作的情况；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必要时检查安全评价、消防验收等情况.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商定第二阶段审核的时间、细节等受审核方是否策划和实施了管理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008C7"/>
    <w:rsid w:val="0E4038FD"/>
    <w:rsid w:val="20481A9A"/>
    <w:rsid w:val="3EC5757A"/>
    <w:rsid w:val="417F392B"/>
    <w:rsid w:val="7F9E0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李俐</cp:lastModifiedBy>
  <cp:lastPrinted>2019-03-27T03:10:00Z</cp:lastPrinted>
  <dcterms:modified xsi:type="dcterms:W3CDTF">2021-05-28T00:55:32Z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8536767A4EB2471FA032658CBC2A2241</vt:lpwstr>
  </property>
</Properties>
</file>