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pPr w:leftFromText="180" w:rightFromText="180" w:vertAnchor="text" w:horzAnchor="page" w:tblpX="1078" w:tblpY="221"/>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8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788" w:type="dxa"/>
            <w:vAlign w:val="center"/>
          </w:tcPr>
          <w:p>
            <w:pPr>
              <w:rPr>
                <w:rFonts w:hint="eastAsia" w:eastAsia="宋体"/>
                <w:szCs w:val="21"/>
                <w:lang w:val="en-US" w:eastAsia="zh-CN"/>
              </w:rPr>
            </w:pPr>
            <w:r>
              <w:rPr>
                <w:rFonts w:hint="eastAsia"/>
                <w:szCs w:val="21"/>
              </w:rPr>
              <w:t>受审核部门：</w:t>
            </w:r>
            <w:r>
              <w:rPr>
                <w:rFonts w:hint="eastAsia"/>
                <w:szCs w:val="21"/>
                <w:lang w:val="en-US" w:eastAsia="zh-CN"/>
              </w:rPr>
              <w:t>采购</w:t>
            </w:r>
            <w:r>
              <w:rPr>
                <w:rFonts w:hint="eastAsia"/>
                <w:szCs w:val="21"/>
              </w:rPr>
              <w:t>部</w:t>
            </w:r>
            <w:r>
              <w:rPr>
                <w:szCs w:val="21"/>
              </w:rPr>
              <w:t xml:space="preserve">       </w:t>
            </w:r>
            <w:r>
              <w:rPr>
                <w:rFonts w:hint="eastAsia"/>
                <w:szCs w:val="21"/>
              </w:rPr>
              <w:t>主管领导：</w:t>
            </w:r>
            <w:r>
              <w:rPr>
                <w:rFonts w:hint="eastAsia"/>
                <w:szCs w:val="21"/>
                <w:lang w:val="en-US" w:eastAsia="zh-CN"/>
              </w:rPr>
              <w:t>谭兰梅</w:t>
            </w:r>
            <w:r>
              <w:rPr>
                <w:szCs w:val="21"/>
              </w:rPr>
              <w:t xml:space="preserve">           </w:t>
            </w:r>
            <w:r>
              <w:rPr>
                <w:rFonts w:hint="eastAsia"/>
                <w:szCs w:val="21"/>
              </w:rPr>
              <w:t>陪同人员：</w:t>
            </w:r>
            <w:r>
              <w:rPr>
                <w:rFonts w:hint="eastAsia"/>
                <w:szCs w:val="21"/>
                <w:lang w:val="en-US" w:eastAsia="zh-CN"/>
              </w:rPr>
              <w:t>徐辉荣</w:t>
            </w:r>
          </w:p>
        </w:tc>
        <w:tc>
          <w:tcPr>
            <w:tcW w:w="801"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spacing w:before="120"/>
              <w:rPr>
                <w:rFonts w:hint="default" w:eastAsia="宋体"/>
                <w:szCs w:val="21"/>
                <w:lang w:val="en-US" w:eastAsia="zh-CN"/>
              </w:rPr>
            </w:pPr>
            <w:r>
              <w:rPr>
                <w:rFonts w:hint="eastAsia"/>
                <w:szCs w:val="21"/>
              </w:rPr>
              <w:t>审核员：周涛、</w:t>
            </w:r>
            <w:r>
              <w:rPr>
                <w:szCs w:val="21"/>
              </w:rPr>
              <w:t xml:space="preserve">       </w:t>
            </w:r>
            <w:r>
              <w:rPr>
                <w:rFonts w:hint="eastAsia"/>
                <w:szCs w:val="21"/>
              </w:rPr>
              <w:t>审核时间：</w:t>
            </w:r>
            <w:r>
              <w:rPr>
                <w:szCs w:val="21"/>
              </w:rPr>
              <w:t>2021.</w:t>
            </w:r>
            <w:r>
              <w:rPr>
                <w:rFonts w:hint="eastAsia"/>
                <w:szCs w:val="21"/>
                <w:lang w:val="en-US" w:eastAsia="zh-CN"/>
              </w:rPr>
              <w:t>4</w:t>
            </w:r>
            <w:r>
              <w:rPr>
                <w:szCs w:val="21"/>
              </w:rPr>
              <w:t>.</w:t>
            </w:r>
            <w:r>
              <w:rPr>
                <w:rFonts w:hint="eastAsia"/>
                <w:szCs w:val="21"/>
                <w:lang w:val="en-US" w:eastAsia="zh-CN"/>
              </w:rPr>
              <w:t>27</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788" w:type="dxa"/>
            <w:vAlign w:val="center"/>
          </w:tcPr>
          <w:p>
            <w:pPr>
              <w:rPr>
                <w:szCs w:val="21"/>
              </w:rPr>
            </w:pPr>
            <w:r>
              <w:rPr>
                <w:rFonts w:hint="eastAsia"/>
                <w:szCs w:val="21"/>
              </w:rPr>
              <w:t>审核条款：</w:t>
            </w:r>
            <w:r>
              <w:rPr>
                <w:rFonts w:hint="eastAsia" w:ascii="宋体" w:hAnsi="宋体"/>
                <w:szCs w:val="21"/>
              </w:rPr>
              <w:t>5.3 组织的岗位、职责和权限、6.2 目标、能源指及其实现的策划、8.1 运行的策划和控制、8.3采购</w:t>
            </w:r>
            <w:r>
              <w:rPr>
                <w:rFonts w:hint="eastAsia" w:ascii="宋体" w:hAnsi="宋体"/>
                <w:szCs w:val="21"/>
                <w:lang w:eastAsia="zh-CN"/>
              </w:rPr>
              <w:t>；</w:t>
            </w:r>
          </w:p>
        </w:tc>
        <w:tc>
          <w:tcPr>
            <w:tcW w:w="801"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Cs w:val="21"/>
              </w:rPr>
            </w:pPr>
            <w:r>
              <w:rPr>
                <w:rFonts w:hint="eastAsia" w:ascii="宋体" w:hAnsi="宋体"/>
                <w:szCs w:val="21"/>
              </w:rPr>
              <w:t>组织的岗位、职责和权限、</w:t>
            </w:r>
          </w:p>
        </w:tc>
        <w:tc>
          <w:tcPr>
            <w:tcW w:w="960" w:type="dxa"/>
          </w:tcPr>
          <w:p>
            <w:pPr>
              <w:rPr>
                <w:szCs w:val="21"/>
              </w:rPr>
            </w:pPr>
            <w:r>
              <w:rPr>
                <w:rFonts w:ascii="宋体" w:hAnsi="宋体"/>
                <w:szCs w:val="21"/>
              </w:rPr>
              <w:t xml:space="preserve">5.3 </w:t>
            </w:r>
          </w:p>
        </w:tc>
        <w:tc>
          <w:tcPr>
            <w:tcW w:w="10788" w:type="dxa"/>
          </w:tcPr>
          <w:p>
            <w:pPr>
              <w:rPr>
                <w:szCs w:val="21"/>
              </w:rPr>
            </w:pPr>
            <w:r>
              <w:rPr>
                <w:rFonts w:hint="eastAsia"/>
                <w:szCs w:val="21"/>
              </w:rPr>
              <w:t>负责人：</w:t>
            </w:r>
          </w:p>
          <w:p>
            <w:pPr>
              <w:rPr>
                <w:szCs w:val="21"/>
              </w:rPr>
            </w:pPr>
            <w:r>
              <w:rPr>
                <w:rFonts w:hint="eastAsia"/>
                <w:color w:val="0000FF"/>
                <w:szCs w:val="21"/>
                <w:lang w:eastAsia="zh-CN"/>
              </w:rPr>
              <w:t>采购部</w:t>
            </w:r>
            <w:r>
              <w:rPr>
                <w:rFonts w:hint="eastAsia"/>
                <w:szCs w:val="21"/>
              </w:rPr>
              <w:t>职责：</w:t>
            </w:r>
          </w:p>
          <w:p>
            <w:pPr>
              <w:numPr>
                <w:ilvl w:val="0"/>
                <w:numId w:val="2"/>
              </w:numPr>
              <w:rPr>
                <w:szCs w:val="21"/>
              </w:rPr>
            </w:pPr>
            <w:r>
              <w:rPr>
                <w:rFonts w:hint="eastAsia"/>
                <w:szCs w:val="21"/>
              </w:rPr>
              <w:t>负责设备</w:t>
            </w:r>
            <w:r>
              <w:rPr>
                <w:rFonts w:hint="default"/>
                <w:szCs w:val="21"/>
              </w:rPr>
              <w:t>及配件</w:t>
            </w:r>
            <w:r>
              <w:rPr>
                <w:rFonts w:hint="eastAsia"/>
                <w:szCs w:val="21"/>
              </w:rPr>
              <w:t>的</w:t>
            </w:r>
            <w:r>
              <w:rPr>
                <w:rFonts w:hint="default"/>
                <w:szCs w:val="21"/>
              </w:rPr>
              <w:t>购置</w:t>
            </w:r>
            <w:r>
              <w:rPr>
                <w:rFonts w:hint="eastAsia"/>
                <w:szCs w:val="21"/>
              </w:rPr>
              <w:t>；</w:t>
            </w:r>
          </w:p>
          <w:p>
            <w:pPr>
              <w:numPr>
                <w:ilvl w:val="0"/>
                <w:numId w:val="2"/>
              </w:numPr>
              <w:rPr>
                <w:szCs w:val="21"/>
              </w:rPr>
            </w:pPr>
            <w:r>
              <w:rPr>
                <w:rFonts w:hint="eastAsia"/>
                <w:szCs w:val="21"/>
              </w:rPr>
              <w:t>负责物资的采购工作；</w:t>
            </w:r>
          </w:p>
        </w:tc>
        <w:tc>
          <w:tcPr>
            <w:tcW w:w="801" w:type="dxa"/>
          </w:tcPr>
          <w:p>
            <w:pP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tcPr>
          <w:p>
            <w:pPr>
              <w:rPr>
                <w:szCs w:val="21"/>
              </w:rPr>
            </w:pPr>
            <w:r>
              <w:rPr>
                <w:rFonts w:hint="eastAsia" w:ascii="宋体" w:hAnsi="宋体"/>
                <w:szCs w:val="21"/>
              </w:rPr>
              <w:t>目标、能源指及其实现的策划、</w:t>
            </w:r>
          </w:p>
        </w:tc>
        <w:tc>
          <w:tcPr>
            <w:tcW w:w="960" w:type="dxa"/>
          </w:tcPr>
          <w:p>
            <w:pPr>
              <w:rPr>
                <w:szCs w:val="21"/>
              </w:rPr>
            </w:pPr>
            <w:r>
              <w:rPr>
                <w:rFonts w:ascii="宋体" w:hAnsi="宋体"/>
                <w:szCs w:val="21"/>
              </w:rPr>
              <w:t xml:space="preserve">6.2 </w:t>
            </w:r>
          </w:p>
        </w:tc>
        <w:tc>
          <w:tcPr>
            <w:tcW w:w="10788" w:type="dxa"/>
          </w:tcPr>
          <w:p>
            <w:pPr>
              <w:rPr>
                <w:rFonts w:hint="default" w:eastAsia="宋体"/>
                <w:szCs w:val="21"/>
                <w:lang w:val="en-US" w:eastAsia="zh-CN"/>
              </w:rPr>
            </w:pPr>
            <w:r>
              <w:rPr>
                <w:rFonts w:hint="eastAsia" w:ascii="宋体" w:hAnsi="宋体" w:cs="宋体"/>
                <w:szCs w:val="21"/>
                <w:lang w:val="en-US" w:eastAsia="zh-CN"/>
              </w:rPr>
              <w:t>采购部没有制定本部门的能源目标，执行公司的目标。</w:t>
            </w:r>
          </w:p>
        </w:tc>
        <w:tc>
          <w:tcPr>
            <w:tcW w:w="801" w:type="dxa"/>
          </w:tcPr>
          <w:p>
            <w:pP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tcPr>
          <w:p>
            <w:pPr>
              <w:rPr>
                <w:rFonts w:hint="eastAsia" w:ascii="宋体" w:hAnsi="宋体"/>
                <w:szCs w:val="21"/>
              </w:rPr>
            </w:pPr>
            <w:r>
              <w:rPr>
                <w:rFonts w:hint="eastAsia" w:ascii="宋体" w:hAnsi="宋体"/>
                <w:szCs w:val="21"/>
              </w:rPr>
              <w:t>运行的策划和控制</w:t>
            </w:r>
          </w:p>
        </w:tc>
        <w:tc>
          <w:tcPr>
            <w:tcW w:w="960" w:type="dxa"/>
          </w:tcPr>
          <w:p>
            <w:pPr>
              <w:rPr>
                <w:rFonts w:ascii="宋体" w:hAnsi="宋体"/>
                <w:szCs w:val="21"/>
              </w:rPr>
            </w:pPr>
            <w:r>
              <w:rPr>
                <w:rFonts w:hint="eastAsia" w:ascii="宋体" w:hAnsi="宋体"/>
                <w:szCs w:val="21"/>
              </w:rPr>
              <w:t xml:space="preserve">8.1 </w:t>
            </w:r>
          </w:p>
        </w:tc>
        <w:tc>
          <w:tcPr>
            <w:tcW w:w="10788" w:type="dxa"/>
          </w:tcPr>
          <w:p>
            <w:pPr>
              <w:spacing w:line="240" w:lineRule="atLeast"/>
              <w:rPr>
                <w:rFonts w:ascii="宋体" w:cs="宋体"/>
                <w:szCs w:val="21"/>
              </w:rPr>
            </w:pPr>
            <w:r>
              <w:rPr>
                <w:rFonts w:hint="eastAsia" w:ascii="宋体" w:hAnsi="宋体" w:cs="宋体"/>
                <w:szCs w:val="21"/>
              </w:rPr>
              <w:t>制定并执行《</w:t>
            </w:r>
            <w:r>
              <w:rPr>
                <w:rFonts w:hint="eastAsia" w:ascii="宋体" w:hAnsi="宋体" w:cs="宋体"/>
                <w:szCs w:val="21"/>
                <w:lang w:val="en-US" w:eastAsia="zh-CN"/>
              </w:rPr>
              <w:t>运行</w:t>
            </w:r>
            <w:r>
              <w:rPr>
                <w:rFonts w:hint="eastAsia" w:ascii="宋体" w:hAnsi="宋体" w:cs="宋体"/>
                <w:szCs w:val="21"/>
              </w:rPr>
              <w:t>控制程序》，以满足需求实现能源</w:t>
            </w:r>
            <w:r>
              <w:rPr>
                <w:rFonts w:hint="eastAsia" w:ascii="宋体" w:hAnsi="宋体" w:cs="宋体"/>
                <w:szCs w:val="21"/>
                <w:lang w:val="en-US" w:eastAsia="zh-CN"/>
              </w:rPr>
              <w:t>采购</w:t>
            </w:r>
            <w:r>
              <w:rPr>
                <w:rFonts w:hint="eastAsia" w:ascii="宋体" w:hAnsi="宋体" w:cs="宋体"/>
                <w:szCs w:val="21"/>
              </w:rPr>
              <w:t>中确定的行动。由</w:t>
            </w:r>
            <w:r>
              <w:rPr>
                <w:rFonts w:ascii="宋体" w:hAnsi="宋体" w:cs="宋体"/>
                <w:szCs w:val="21"/>
              </w:rPr>
              <w:t>:</w:t>
            </w:r>
          </w:p>
          <w:p>
            <w:pPr>
              <w:spacing w:line="240" w:lineRule="atLeast"/>
              <w:rPr>
                <w:rFonts w:ascii="宋体" w:cs="宋体"/>
                <w:szCs w:val="21"/>
              </w:rPr>
            </w:pPr>
            <w:r>
              <w:rPr>
                <w:rFonts w:ascii="宋体" w:hAnsi="宋体" w:cs="宋体"/>
                <w:szCs w:val="21"/>
              </w:rPr>
              <w:t>a)</w:t>
            </w:r>
            <w:r>
              <w:rPr>
                <w:rFonts w:hint="eastAsia" w:ascii="宋体" w:hAnsi="宋体" w:cs="宋体"/>
                <w:szCs w:val="21"/>
              </w:rPr>
              <w:t>制定有关过程的标准，包括设施、设备、系统和能源使用过程的有效操作和维护，如果没有这些过程，可能会导致对预期能源性能的重大偏离</w:t>
            </w:r>
            <w:r>
              <w:rPr>
                <w:rFonts w:ascii="宋体" w:hAnsi="宋体" w:cs="宋体"/>
                <w:szCs w:val="21"/>
              </w:rPr>
              <w:t>;</w:t>
            </w:r>
          </w:p>
          <w:p>
            <w:pPr>
              <w:spacing w:line="240" w:lineRule="atLeast"/>
              <w:rPr>
                <w:rFonts w:ascii="宋体" w:cs="宋体"/>
                <w:szCs w:val="21"/>
              </w:rPr>
            </w:pPr>
            <w:r>
              <w:rPr>
                <w:rFonts w:ascii="宋体" w:hAnsi="宋体" w:cs="宋体"/>
                <w:szCs w:val="21"/>
              </w:rPr>
              <w:t>b)</w:t>
            </w:r>
            <w:r>
              <w:rPr>
                <w:rFonts w:hint="eastAsia" w:ascii="宋体" w:hAnsi="宋体" w:cs="宋体"/>
                <w:szCs w:val="21"/>
              </w:rPr>
              <w:t>向在组织控制下工作的相关人员传达能源节约的益处；</w:t>
            </w:r>
          </w:p>
          <w:p>
            <w:pPr>
              <w:spacing w:line="240" w:lineRule="atLeast"/>
              <w:rPr>
                <w:rFonts w:ascii="宋体" w:cs="宋体"/>
                <w:szCs w:val="21"/>
              </w:rPr>
            </w:pPr>
            <w:r>
              <w:rPr>
                <w:rFonts w:ascii="宋体" w:hAnsi="宋体" w:cs="宋体"/>
                <w:szCs w:val="21"/>
              </w:rPr>
              <w:t>c)</w:t>
            </w:r>
            <w:r>
              <w:rPr>
                <w:rFonts w:hint="eastAsia" w:ascii="宋体" w:hAnsi="宋体" w:cs="宋体"/>
                <w:szCs w:val="21"/>
              </w:rPr>
              <w:t>按照标准实施对过程的控制，包括按照既定标准操作和维护设施、设备、系统和能源使用过程</w:t>
            </w:r>
            <w:r>
              <w:rPr>
                <w:rFonts w:ascii="宋体" w:hAnsi="宋体" w:cs="宋体"/>
                <w:szCs w:val="21"/>
              </w:rPr>
              <w:t>;</w:t>
            </w:r>
          </w:p>
          <w:p>
            <w:pPr>
              <w:spacing w:line="240" w:lineRule="atLeast"/>
              <w:rPr>
                <w:rFonts w:ascii="宋体" w:cs="宋体"/>
                <w:szCs w:val="21"/>
              </w:rPr>
            </w:pPr>
            <w:r>
              <w:rPr>
                <w:rFonts w:hint="eastAsia" w:ascii="宋体" w:hAnsi="宋体" w:cs="宋体"/>
                <w:szCs w:val="21"/>
              </w:rPr>
              <w:t>控制计划中的变更，并审查意外变更的后果，并在必要时采取行动减轻任何不利影响。</w:t>
            </w:r>
          </w:p>
          <w:p>
            <w:pPr>
              <w:rPr>
                <w:rFonts w:hint="eastAsia" w:ascii="宋体" w:hAnsi="宋体" w:cs="宋体"/>
                <w:szCs w:val="21"/>
                <w:lang w:val="en-US" w:eastAsia="zh-CN"/>
              </w:rPr>
            </w:pPr>
          </w:p>
        </w:tc>
        <w:tc>
          <w:tcPr>
            <w:tcW w:w="801" w:type="dxa"/>
          </w:tcPr>
          <w:p/>
          <w:p>
            <w:pPr>
              <w:pStyle w:val="2"/>
              <w:rPr>
                <w:szCs w:val="21"/>
              </w:rPr>
            </w:pPr>
          </w:p>
          <w:p>
            <w:pPr>
              <w:pStyle w:val="2"/>
              <w:rPr>
                <w:szCs w:val="21"/>
              </w:rPr>
            </w:pPr>
          </w:p>
          <w:p>
            <w:pPr>
              <w:pStyle w:val="2"/>
              <w:rPr>
                <w:szCs w:val="21"/>
              </w:rPr>
            </w:pPr>
          </w:p>
          <w:p>
            <w:pPr>
              <w:pStyle w:val="2"/>
              <w:rPr>
                <w:rFonts w:hint="default" w:eastAsia="宋体"/>
                <w:szCs w:val="21"/>
                <w:lang w:val="en-US" w:eastAsia="zh-CN"/>
              </w:rPr>
            </w:pPr>
            <w:r>
              <w:rPr>
                <w:rFonts w:hint="eastAsia"/>
                <w:szCs w:val="21"/>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160" w:type="dxa"/>
          </w:tcPr>
          <w:p>
            <w:pPr>
              <w:rPr>
                <w:rFonts w:ascii="宋体"/>
                <w:szCs w:val="21"/>
              </w:rPr>
            </w:pPr>
            <w:r>
              <w:rPr>
                <w:rFonts w:hint="eastAsia" w:ascii="宋体" w:hAnsi="宋体"/>
                <w:szCs w:val="21"/>
              </w:rPr>
              <w:t>采购、</w:t>
            </w:r>
          </w:p>
        </w:tc>
        <w:tc>
          <w:tcPr>
            <w:tcW w:w="960" w:type="dxa"/>
          </w:tcPr>
          <w:p>
            <w:pPr>
              <w:rPr>
                <w:szCs w:val="21"/>
              </w:rPr>
            </w:pPr>
            <w:r>
              <w:rPr>
                <w:rFonts w:ascii="宋体" w:hAnsi="宋体"/>
                <w:szCs w:val="21"/>
              </w:rPr>
              <w:t>8.3</w:t>
            </w:r>
          </w:p>
        </w:tc>
        <w:tc>
          <w:tcPr>
            <w:tcW w:w="10788" w:type="dxa"/>
          </w:tcPr>
          <w:p>
            <w:pPr>
              <w:rPr>
                <w:rFonts w:hint="default"/>
                <w:lang w:val="en-US" w:eastAsia="zh-CN"/>
              </w:rPr>
            </w:pPr>
            <w:r>
              <w:rPr>
                <w:rFonts w:hint="eastAsia"/>
                <w:lang w:val="en-US" w:eastAsia="zh-CN"/>
              </w:rPr>
              <w:t>编制了《采购控制程序》等</w:t>
            </w:r>
          </w:p>
          <w:p>
            <w:pPr>
              <w:rPr>
                <w:rFonts w:hint="eastAsia"/>
                <w:lang w:val="en-US" w:eastAsia="zh-CN"/>
              </w:rPr>
            </w:pPr>
            <w:r>
              <w:rPr>
                <w:rFonts w:hint="eastAsia"/>
                <w:lang w:val="en-US" w:eastAsia="zh-CN"/>
              </w:rPr>
              <w:t>负责公司的照明设备采购，与供应商签订框架合同，根据生产或车间的需要，把需求下达给供应商，提供相应的产品提供采购框架合同：包括相关要求、质量要求等。</w:t>
            </w:r>
          </w:p>
          <w:p>
            <w:pPr>
              <w:rPr>
                <w:rFonts w:hint="eastAsia"/>
                <w:lang w:val="en-US" w:eastAsia="zh-CN"/>
              </w:rPr>
            </w:pPr>
            <w:r>
              <w:rPr>
                <w:rFonts w:hint="eastAsia"/>
                <w:lang w:val="en-US" w:eastAsia="zh-CN"/>
              </w:rPr>
              <w:t>抽查2020年度采购合同：</w:t>
            </w:r>
          </w:p>
          <w:p>
            <w:pPr>
              <w:pStyle w:val="9"/>
              <w:ind w:left="0" w:leftChars="0" w:firstLine="0" w:firstLineChars="0"/>
              <w:rPr>
                <w:rFonts w:hint="default"/>
                <w:lang w:val="en-US" w:eastAsia="zh-CN"/>
              </w:rPr>
            </w:pPr>
            <w:r>
              <w:rPr>
                <w:rFonts w:hint="eastAsia"/>
                <w:lang w:val="en-US" w:eastAsia="zh-CN"/>
              </w:rPr>
              <w:t>抽查供电合同、产品采购合同、机电采购合同各一份。如下：</w:t>
            </w:r>
          </w:p>
          <w:p>
            <w:pPr>
              <w:pStyle w:val="9"/>
              <w:rPr>
                <w:rFonts w:hint="default"/>
                <w:lang w:val="en-US" w:eastAsia="zh-CN"/>
              </w:rPr>
            </w:pPr>
            <w:r>
              <w:rPr>
                <w:rFonts w:hint="eastAsia"/>
                <w:lang w:val="en-US" w:eastAsia="zh-CN"/>
              </w:rPr>
              <w:drawing>
                <wp:inline distT="0" distB="0" distL="114300" distR="114300">
                  <wp:extent cx="5431790" cy="3194685"/>
                  <wp:effectExtent l="0" t="0" r="5715" b="3810"/>
                  <wp:docPr id="26" name="图片 26" descr="81c00f109652ebfdf9443f6521bb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1c00f109652ebfdf9443f6521bbe9b"/>
                          <pic:cNvPicPr>
                            <a:picLocks noChangeAspect="1"/>
                          </pic:cNvPicPr>
                        </pic:nvPicPr>
                        <pic:blipFill>
                          <a:blip r:embed="rId6"/>
                          <a:stretch>
                            <a:fillRect/>
                          </a:stretch>
                        </pic:blipFill>
                        <pic:spPr>
                          <a:xfrm rot="16200000">
                            <a:off x="0" y="0"/>
                            <a:ext cx="5431790" cy="31946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3065780" cy="5357495"/>
                  <wp:effectExtent l="0" t="0" r="7620" b="1905"/>
                  <wp:docPr id="27" name="图片 27" descr="ff4c20465d5935522faa962582b8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f4c20465d5935522faa962582b80b5"/>
                          <pic:cNvPicPr>
                            <a:picLocks noChangeAspect="1"/>
                          </pic:cNvPicPr>
                        </pic:nvPicPr>
                        <pic:blipFill>
                          <a:blip r:embed="rId7"/>
                          <a:stretch>
                            <a:fillRect/>
                          </a:stretch>
                        </pic:blipFill>
                        <pic:spPr>
                          <a:xfrm>
                            <a:off x="0" y="0"/>
                            <a:ext cx="3065780" cy="5357495"/>
                          </a:xfrm>
                          <a:prstGeom prst="rect">
                            <a:avLst/>
                          </a:prstGeom>
                        </pic:spPr>
                      </pic:pic>
                    </a:graphicData>
                  </a:graphic>
                </wp:inline>
              </w:drawing>
            </w:r>
          </w:p>
          <w:p>
            <w:pPr>
              <w:pStyle w:val="9"/>
              <w:ind w:left="0" w:leftChars="0" w:firstLine="0" w:firstLineChars="0"/>
              <w:rPr>
                <w:rFonts w:hint="eastAsia"/>
                <w:lang w:val="en-US" w:eastAsia="zh-CN"/>
              </w:rPr>
            </w:pPr>
            <w:r>
              <w:rPr>
                <w:rFonts w:hint="eastAsia"/>
                <w:lang w:val="en-US" w:eastAsia="zh-CN"/>
              </w:rPr>
              <w:t>抽查供电合同：</w:t>
            </w:r>
          </w:p>
          <w:p>
            <w:pPr>
              <w:pStyle w:val="9"/>
              <w:ind w:left="0" w:leftChars="0" w:firstLine="0" w:firstLineChars="0"/>
              <w:rPr>
                <w:rFonts w:hint="default"/>
                <w:lang w:val="en-US" w:eastAsia="zh-CN"/>
              </w:rPr>
            </w:pPr>
            <w:r>
              <w:rPr>
                <w:rFonts w:hint="default"/>
                <w:lang w:val="en-US" w:eastAsia="zh-CN"/>
              </w:rPr>
              <w:drawing>
                <wp:inline distT="0" distB="0" distL="114300" distR="114300">
                  <wp:extent cx="2212975" cy="2950210"/>
                  <wp:effectExtent l="0" t="0" r="9525" b="8890"/>
                  <wp:docPr id="3" name="图片 3" descr="7ef341cfe2e7ddfd33b778d3bb6f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f341cfe2e7ddfd33b778d3bb6facc"/>
                          <pic:cNvPicPr>
                            <a:picLocks noChangeAspect="1"/>
                          </pic:cNvPicPr>
                        </pic:nvPicPr>
                        <pic:blipFill>
                          <a:blip r:embed="rId8"/>
                          <a:stretch>
                            <a:fillRect/>
                          </a:stretch>
                        </pic:blipFill>
                        <pic:spPr>
                          <a:xfrm>
                            <a:off x="0" y="0"/>
                            <a:ext cx="2212975" cy="29502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189480" cy="2919095"/>
                  <wp:effectExtent l="0" t="0" r="7620" b="1905"/>
                  <wp:docPr id="4" name="图片 4" descr="d78974fd00d6346140c5a0d986cc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8974fd00d6346140c5a0d986cccb7"/>
                          <pic:cNvPicPr>
                            <a:picLocks noChangeAspect="1"/>
                          </pic:cNvPicPr>
                        </pic:nvPicPr>
                        <pic:blipFill>
                          <a:blip r:embed="rId9"/>
                          <a:stretch>
                            <a:fillRect/>
                          </a:stretch>
                        </pic:blipFill>
                        <pic:spPr>
                          <a:xfrm>
                            <a:off x="0" y="0"/>
                            <a:ext cx="2189480" cy="2919095"/>
                          </a:xfrm>
                          <a:prstGeom prst="rect">
                            <a:avLst/>
                          </a:prstGeom>
                        </pic:spPr>
                      </pic:pic>
                    </a:graphicData>
                  </a:graphic>
                </wp:inline>
              </w:drawing>
            </w:r>
            <w:r>
              <w:rPr>
                <w:rFonts w:hint="eastAsia"/>
                <w:lang w:val="en-US" w:eastAsia="zh-CN"/>
              </w:rPr>
              <w:t xml:space="preserve">  </w:t>
            </w:r>
          </w:p>
          <w:p>
            <w:pPr>
              <w:pStyle w:val="2"/>
              <w:rPr>
                <w:rFonts w:hint="default"/>
                <w:lang w:val="en-US" w:eastAsia="zh-CN"/>
              </w:rPr>
            </w:pPr>
            <w:r>
              <w:rPr>
                <w:rFonts w:hint="eastAsia"/>
                <w:lang w:val="en-US" w:eastAsia="zh-CN"/>
              </w:rPr>
              <w:t>抽查采购订单：有质量要求及能源方面的要求。</w:t>
            </w:r>
          </w:p>
          <w:p>
            <w:pPr>
              <w:pStyle w:val="9"/>
              <w:ind w:left="0" w:leftChars="0" w:firstLine="0" w:firstLineChars="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另提供采购电机的采购单，没有发现强制淘汰的设备</w:t>
            </w:r>
            <w:r>
              <w:rPr>
                <w:rFonts w:hint="eastAsia" w:cs="Times New Roman"/>
                <w:kern w:val="2"/>
                <w:sz w:val="21"/>
                <w:szCs w:val="20"/>
                <w:lang w:val="en-US" w:eastAsia="zh-CN" w:bidi="ar-SA"/>
              </w:rPr>
              <w:t>，都是节能设备</w:t>
            </w:r>
            <w:r>
              <w:rPr>
                <w:rFonts w:hint="eastAsia" w:ascii="Times New Roman" w:hAnsi="Times New Roman" w:eastAsia="宋体" w:cs="Times New Roman"/>
                <w:kern w:val="2"/>
                <w:sz w:val="21"/>
                <w:szCs w:val="20"/>
                <w:lang w:val="en-US" w:eastAsia="zh-CN" w:bidi="ar-SA"/>
              </w:rPr>
              <w:t>。</w:t>
            </w:r>
          </w:p>
          <w:p>
            <w:pPr>
              <w:rPr>
                <w:rFonts w:ascii="宋体" w:cs="宋体"/>
                <w:szCs w:val="21"/>
              </w:rPr>
            </w:pPr>
            <w:r>
              <w:rPr>
                <w:rFonts w:hint="eastAsia" w:cs="Times New Roman"/>
                <w:kern w:val="2"/>
                <w:sz w:val="21"/>
                <w:szCs w:val="20"/>
                <w:lang w:val="en-US" w:eastAsia="zh-CN" w:bidi="ar-SA"/>
              </w:rPr>
              <w:t>采购的办公照明、空调设备都是节能的设备。</w:t>
            </w:r>
          </w:p>
        </w:tc>
        <w:tc>
          <w:tcPr>
            <w:tcW w:w="801" w:type="dxa"/>
          </w:tcPr>
          <w:p>
            <w:pPr>
              <w:rPr>
                <w:szCs w:val="21"/>
              </w:rPr>
            </w:pPr>
          </w:p>
          <w:p>
            <w:pPr>
              <w:pStyle w:val="9"/>
              <w:rPr>
                <w:szCs w:val="21"/>
              </w:rPr>
            </w:pPr>
          </w:p>
          <w:p>
            <w:pPr>
              <w:pStyle w:val="9"/>
              <w:rPr>
                <w:szCs w:val="21"/>
              </w:rPr>
            </w:pPr>
          </w:p>
          <w:p>
            <w:pPr>
              <w:pStyle w:val="9"/>
              <w:rPr>
                <w:szCs w:val="21"/>
              </w:rPr>
            </w:pPr>
          </w:p>
          <w:p>
            <w:pPr>
              <w:pStyle w:val="9"/>
              <w:rPr>
                <w:rFonts w:hint="eastAsia" w:eastAsia="宋体"/>
                <w:szCs w:val="21"/>
                <w:lang w:val="en-US" w:eastAsia="zh-CN"/>
              </w:rPr>
            </w:pPr>
            <w:r>
              <w:rPr>
                <w:rFonts w:hint="eastAsia"/>
                <w:szCs w:val="21"/>
                <w:lang w:val="en-US" w:eastAsia="zh-CN"/>
              </w:rPr>
              <w:t>y</w:t>
            </w: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szCs w:val="21"/>
              </w:rPr>
            </w:pPr>
          </w:p>
          <w:p>
            <w:pPr>
              <w:pStyle w:val="9"/>
              <w:rPr>
                <w:rFonts w:hint="eastAsia" w:eastAsia="宋体"/>
                <w:szCs w:val="21"/>
                <w:lang w:val="en-US" w:eastAsia="zh-CN"/>
              </w:rPr>
            </w:pPr>
          </w:p>
          <w:p>
            <w:pPr>
              <w:ind w:firstLine="210" w:firstLineChars="100"/>
              <w:rPr>
                <w:szCs w:val="21"/>
              </w:rPr>
            </w:pPr>
            <w:r>
              <w:rPr>
                <w:szCs w:val="21"/>
              </w:rPr>
              <w:t>y</w:t>
            </w:r>
          </w:p>
        </w:tc>
      </w:tr>
    </w:tbl>
    <w:p>
      <w:pPr>
        <w:pStyle w:val="7"/>
      </w:pPr>
    </w:p>
    <w:p>
      <w:pPr>
        <w:pStyle w:val="7"/>
      </w:pPr>
    </w:p>
    <w:p>
      <w:pPr>
        <w:pStyle w:val="7"/>
      </w:pPr>
    </w:p>
    <w:p>
      <w:pPr>
        <w:pStyle w:val="7"/>
      </w:pPr>
    </w:p>
    <w:p>
      <w:pPr>
        <w:pStyle w:val="7"/>
      </w:pPr>
    </w:p>
    <w:p>
      <w:pPr>
        <w:pStyle w:val="7"/>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4"/>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lang w:val="en-US" w:eastAsia="zh-CN"/>
              </w:rPr>
              <w:t xml:space="preserve">杨林        </w:t>
            </w:r>
            <w:r>
              <w:rPr>
                <w:rFonts w:hint="eastAsia"/>
                <w:sz w:val="24"/>
                <w:szCs w:val="24"/>
              </w:rPr>
              <w:t>陪同人员：</w:t>
            </w:r>
            <w:r>
              <w:rPr>
                <w:rFonts w:hint="eastAsia"/>
                <w:sz w:val="24"/>
                <w:szCs w:val="24"/>
                <w:lang w:val="en-US" w:eastAsia="zh-CN"/>
              </w:rPr>
              <w:t>徐辉荣</w:t>
            </w:r>
          </w:p>
        </w:tc>
        <w:tc>
          <w:tcPr>
            <w:tcW w:w="83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160" w:type="dxa"/>
            <w:vMerge w:val="continue"/>
            <w:vAlign w:val="center"/>
          </w:tcPr>
          <w:p/>
        </w:tc>
        <w:tc>
          <w:tcPr>
            <w:tcW w:w="960" w:type="dxa"/>
            <w:vMerge w:val="continue"/>
            <w:vAlign w:val="center"/>
          </w:tcPr>
          <w:p/>
        </w:tc>
        <w:tc>
          <w:tcPr>
            <w:tcW w:w="1075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审核员：</w:t>
            </w:r>
            <w:r>
              <w:rPr>
                <w:rFonts w:hint="eastAsia" w:ascii="Times New Roman" w:hAnsi="Times New Roman" w:eastAsia="宋体" w:cs="Times New Roman"/>
                <w:sz w:val="24"/>
                <w:szCs w:val="24"/>
                <w:lang w:val="en-US" w:eastAsia="zh-CN"/>
              </w:rPr>
              <w:t xml:space="preserve">周涛               </w:t>
            </w:r>
            <w:r>
              <w:rPr>
                <w:rFonts w:hint="eastAsia" w:ascii="Times New Roman" w:hAnsi="Times New Roman" w:eastAsia="宋体" w:cs="Times New Roman"/>
                <w:sz w:val="24"/>
                <w:szCs w:val="24"/>
              </w:rPr>
              <w:t>审核时间：</w:t>
            </w:r>
            <w:r>
              <w:rPr>
                <w:rFonts w:hint="eastAsia" w:ascii="Times New Roman" w:hAnsi="Times New Roman" w:eastAsia="宋体" w:cs="Times New Roman"/>
                <w:sz w:val="24"/>
                <w:szCs w:val="24"/>
                <w:lang w:val="en-US" w:eastAsia="zh-CN"/>
              </w:rPr>
              <w:t>2021.4.</w:t>
            </w:r>
            <w:r>
              <w:rPr>
                <w:rFonts w:hint="eastAsia" w:cs="Times New Roman"/>
                <w:sz w:val="24"/>
                <w:szCs w:val="24"/>
                <w:lang w:val="en-US" w:eastAsia="zh-CN"/>
              </w:rPr>
              <w:t>28</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4" w:type="dxa"/>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审核条款：5.3 组织的岗位、职责和权限、6.2 目标、能源指及其实现的策划、6.3 能源评审、6.4 能源绩效参数、6.5 能源基准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6.6 采集能源数据的策划、</w:t>
            </w:r>
            <w:r>
              <w:rPr>
                <w:rFonts w:hint="eastAsia" w:ascii="Times New Roman" w:hAnsi="Times New Roman" w:eastAsia="宋体" w:cs="Times New Roman"/>
                <w:sz w:val="24"/>
                <w:szCs w:val="24"/>
                <w:lang w:val="en-US" w:eastAsia="zh-CN"/>
              </w:rPr>
              <w:t>7.4沟通交流、</w:t>
            </w:r>
            <w:r>
              <w:rPr>
                <w:rFonts w:hint="eastAsia" w:ascii="Times New Roman" w:hAnsi="Times New Roman" w:eastAsia="宋体" w:cs="Times New Roman"/>
                <w:sz w:val="24"/>
                <w:szCs w:val="24"/>
              </w:rPr>
              <w:t>8.1 运行的策划和控制、10.2 持续改进</w:t>
            </w:r>
          </w:p>
        </w:tc>
        <w:tc>
          <w:tcPr>
            <w:tcW w:w="83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szCs w:val="21"/>
              </w:rPr>
              <w:t>5.3 组织的岗位、职责和权限、</w:t>
            </w:r>
          </w:p>
        </w:tc>
        <w:tc>
          <w:tcPr>
            <w:tcW w:w="960" w:type="dxa"/>
          </w:tcPr>
          <w:p>
            <w:pPr>
              <w:rPr>
                <w:rFonts w:hint="default" w:eastAsia="宋体"/>
                <w:lang w:val="en-US" w:eastAsia="zh-CN"/>
              </w:rPr>
            </w:pPr>
            <w:r>
              <w:rPr>
                <w:rFonts w:hint="eastAsia"/>
                <w:lang w:val="en-US" w:eastAsia="zh-CN"/>
              </w:rPr>
              <w:t>En5.3</w:t>
            </w:r>
          </w:p>
        </w:tc>
        <w:tc>
          <w:tcPr>
            <w:tcW w:w="10754" w:type="dxa"/>
          </w:tcPr>
          <w:p>
            <w:pP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生产部职责：</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合理</w:t>
            </w:r>
            <w:r>
              <w:rPr>
                <w:rFonts w:hint="eastAsia" w:ascii="Times New Roman" w:hAnsi="Times New Roman" w:eastAsia="宋体" w:cs="Times New Roman"/>
                <w:sz w:val="24"/>
                <w:szCs w:val="24"/>
                <w:lang w:val="en-US" w:eastAsia="zh-CN"/>
              </w:rPr>
              <w:t>安排</w:t>
            </w:r>
            <w:r>
              <w:rPr>
                <w:rFonts w:hint="eastAsia" w:ascii="Times New Roman" w:hAnsi="Times New Roman" w:eastAsia="宋体" w:cs="Times New Roman"/>
                <w:sz w:val="24"/>
                <w:szCs w:val="24"/>
              </w:rPr>
              <w:t>生产调度，努力降低能源消耗和损失，提高能源利用率。</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负责提供</w:t>
            </w:r>
            <w:r>
              <w:rPr>
                <w:rFonts w:hint="eastAsia" w:ascii="Times New Roman" w:hAnsi="Times New Roman" w:eastAsia="宋体" w:cs="Times New Roman"/>
                <w:sz w:val="24"/>
                <w:szCs w:val="24"/>
                <w:lang w:val="en-US" w:eastAsia="zh-CN"/>
              </w:rPr>
              <w:t>能源</w:t>
            </w:r>
            <w:r>
              <w:rPr>
                <w:rFonts w:hint="eastAsia" w:ascii="Times New Roman" w:hAnsi="Times New Roman" w:eastAsia="宋体" w:cs="Times New Roman"/>
                <w:sz w:val="24"/>
                <w:szCs w:val="24"/>
              </w:rPr>
              <w:t>基础设施和工作环境。</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负责能源</w:t>
            </w:r>
            <w:r>
              <w:rPr>
                <w:rFonts w:hint="eastAsia" w:ascii="Times New Roman" w:hAnsi="Times New Roman" w:eastAsia="宋体" w:cs="Times New Roman"/>
                <w:sz w:val="24"/>
                <w:szCs w:val="24"/>
                <w:lang w:val="en-US" w:eastAsia="zh-CN"/>
              </w:rPr>
              <w:t>体系要求的设备正常</w:t>
            </w:r>
            <w:r>
              <w:rPr>
                <w:rFonts w:hint="eastAsia" w:ascii="Times New Roman" w:hAnsi="Times New Roman" w:eastAsia="宋体" w:cs="Times New Roman"/>
                <w:sz w:val="24"/>
                <w:szCs w:val="24"/>
              </w:rPr>
              <w:t>运行</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做好生产过程的能源控制和对能源过程能力的确认。</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4、能源数据的收集整理上报等</w:t>
            </w:r>
            <w:r>
              <w:rPr>
                <w:rFonts w:hint="eastAsia" w:ascii="Times New Roman" w:hAnsi="Times New Roman" w:eastAsia="宋体" w:cs="Times New Roman"/>
                <w:sz w:val="24"/>
                <w:szCs w:val="24"/>
              </w:rPr>
              <w:t>统计工作。</w:t>
            </w: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5、参与能源</w:t>
            </w:r>
            <w:r>
              <w:rPr>
                <w:rFonts w:hint="eastAsia" w:ascii="Times New Roman" w:hAnsi="Times New Roman" w:eastAsia="宋体" w:cs="Times New Roman"/>
                <w:sz w:val="24"/>
                <w:szCs w:val="24"/>
              </w:rPr>
              <w:t>应急预案的编制和落实工作。</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经现场查询相关人员，都明确各自的职责。</w:t>
            </w:r>
          </w:p>
        </w:tc>
        <w:tc>
          <w:tcPr>
            <w:tcW w:w="835" w:type="dxa"/>
          </w:tcPr>
          <w:p/>
          <w:p>
            <w:pPr>
              <w:pStyle w:val="9"/>
            </w:pPr>
          </w:p>
          <w:p>
            <w:pPr>
              <w:pStyle w:val="9"/>
            </w:pPr>
          </w:p>
          <w:p>
            <w:pPr>
              <w:pStyle w:val="9"/>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2160" w:type="dxa"/>
          </w:tcPr>
          <w:p>
            <w:r>
              <w:rPr>
                <w:rFonts w:hint="eastAsia" w:ascii="宋体" w:hAnsi="宋体"/>
                <w:szCs w:val="21"/>
              </w:rPr>
              <w:t>6.2 目标、能源</w:t>
            </w:r>
            <w:r>
              <w:rPr>
                <w:rFonts w:hint="eastAsia" w:ascii="宋体" w:hAnsi="宋体"/>
                <w:szCs w:val="21"/>
                <w:lang w:val="en-US" w:eastAsia="zh-CN"/>
              </w:rPr>
              <w:t>指标</w:t>
            </w:r>
            <w:r>
              <w:rPr>
                <w:rFonts w:hint="eastAsia" w:ascii="宋体" w:hAnsi="宋体"/>
                <w:szCs w:val="21"/>
              </w:rPr>
              <w:t>及其实现的策划、</w:t>
            </w:r>
          </w:p>
        </w:tc>
        <w:tc>
          <w:tcPr>
            <w:tcW w:w="960" w:type="dxa"/>
          </w:tcPr>
          <w:p>
            <w:pPr>
              <w:pStyle w:val="9"/>
              <w:ind w:left="0" w:leftChars="0" w:firstLine="0" w:firstLineChars="0"/>
              <w:rPr>
                <w:rFonts w:hint="default" w:eastAsia="宋体"/>
                <w:lang w:val="en-US" w:eastAsia="zh-CN"/>
              </w:rPr>
            </w:pPr>
            <w:r>
              <w:rPr>
                <w:rFonts w:hint="eastAsia"/>
                <w:lang w:val="en-US" w:eastAsia="zh-CN"/>
              </w:rPr>
              <w:t>En6.2</w:t>
            </w:r>
          </w:p>
        </w:tc>
        <w:tc>
          <w:tcPr>
            <w:tcW w:w="10754" w:type="dxa"/>
            <w:vAlign w:val="top"/>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公司的能源目标为：单位产品综合能耗≦60kgce/t。</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2020年能源目标完成情况为：52kgce/t</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2021年一季度能源目标完成情况为：50kgce/t.</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2020年和2021年1季度完成的目标值。</w:t>
            </w:r>
          </w:p>
          <w:p>
            <w:pPr>
              <w:rPr>
                <w:rFonts w:hint="default" w:ascii="Times New Roman" w:hAnsi="Times New Roman" w:eastAsia="宋体" w:cs="Times New Roman"/>
                <w:sz w:val="24"/>
                <w:szCs w:val="24"/>
                <w:lang w:val="en-US" w:eastAsia="zh-CN"/>
              </w:rPr>
            </w:pPr>
            <w:r>
              <w:rPr>
                <w:rFonts w:hint="eastAsia" w:ascii="方正仿宋简体" w:eastAsia="方正仿宋简体"/>
                <w:b/>
                <w:color w:val="0000FF"/>
                <w:lang w:val="en-US" w:eastAsia="zh-CN"/>
              </w:rPr>
              <w:t>未能提供节能管理方案。</w:t>
            </w:r>
          </w:p>
        </w:tc>
        <w:tc>
          <w:tcPr>
            <w:tcW w:w="835" w:type="dxa"/>
            <w:vAlign w:val="top"/>
          </w:tcPr>
          <w:p>
            <w:pPr>
              <w:rPr>
                <w:rFonts w:hint="default"/>
                <w:lang w:val="en-US" w:eastAsia="zh-CN"/>
              </w:rPr>
            </w:pPr>
          </w:p>
          <w:p>
            <w:pPr>
              <w:pStyle w:val="9"/>
              <w:rPr>
                <w:rFonts w:hint="default"/>
                <w:lang w:val="en-US" w:eastAsia="zh-CN"/>
              </w:rPr>
            </w:pPr>
          </w:p>
          <w:p>
            <w:pPr>
              <w:pStyle w:val="9"/>
              <w:rPr>
                <w:rFonts w:hint="default"/>
                <w:lang w:val="en-US" w:eastAsia="zh-CN"/>
              </w:rPr>
            </w:pPr>
          </w:p>
          <w:p>
            <w:pPr>
              <w:pStyle w:val="9"/>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p>
          <w:p>
            <w:r>
              <w:rPr>
                <w:rFonts w:hint="eastAsia" w:ascii="宋体" w:hAnsi="宋体"/>
                <w:szCs w:val="21"/>
              </w:rPr>
              <w:t>6.3 能源评审、</w:t>
            </w:r>
          </w:p>
        </w:tc>
        <w:tc>
          <w:tcPr>
            <w:tcW w:w="960" w:type="dxa"/>
          </w:tcPr>
          <w:p/>
          <w:p>
            <w:pPr>
              <w:pStyle w:val="9"/>
            </w:pPr>
          </w:p>
          <w:p>
            <w:pPr>
              <w:pStyle w:val="9"/>
            </w:pPr>
          </w:p>
          <w:p>
            <w:pPr>
              <w:pStyle w:val="9"/>
              <w:ind w:left="0" w:leftChars="0" w:firstLine="0" w:firstLineChars="0"/>
            </w:pPr>
            <w:r>
              <w:rPr>
                <w:rFonts w:hint="eastAsia" w:ascii="宋体" w:hAnsi="宋体"/>
                <w:szCs w:val="21"/>
                <w:lang w:val="en-US" w:eastAsia="zh-CN"/>
              </w:rPr>
              <w:t>En：</w:t>
            </w:r>
            <w:r>
              <w:rPr>
                <w:rFonts w:hint="eastAsia" w:ascii="宋体" w:hAnsi="宋体"/>
                <w:szCs w:val="21"/>
              </w:rPr>
              <w:t xml:space="preserve">6.3 </w:t>
            </w: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领导小组组长：郭宗余</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副组长： 郭宗智、邹祖兴</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成员：龙鹏飞、</w:t>
            </w:r>
            <w:r>
              <w:rPr>
                <w:rFonts w:hint="eastAsia" w:cs="Times New Roman"/>
                <w:sz w:val="24"/>
                <w:szCs w:val="24"/>
                <w:lang w:val="en-US" w:eastAsia="zh-CN"/>
              </w:rPr>
              <w:t>徐辉荣</w:t>
            </w:r>
            <w:r>
              <w:rPr>
                <w:rFonts w:hint="eastAsia" w:ascii="Times New Roman" w:hAnsi="Times New Roman" w:eastAsia="宋体" w:cs="Times New Roman"/>
                <w:sz w:val="24"/>
                <w:szCs w:val="24"/>
                <w:lang w:val="en-US" w:eastAsia="zh-CN"/>
              </w:rPr>
              <w:t>、杨林、喻体强、谭兰梅。</w:t>
            </w:r>
          </w:p>
          <w:p>
            <w:pPr>
              <w:rPr>
                <w:rFonts w:hint="eastAsia" w:ascii="Times New Roman" w:hAnsi="Times New Roman" w:eastAsia="宋体" w:cs="Times New Roman"/>
                <w:sz w:val="24"/>
                <w:szCs w:val="24"/>
                <w:lang w:val="en-US" w:eastAsia="zh-CN"/>
              </w:rPr>
            </w:pPr>
            <w:bookmarkStart w:id="0" w:name="_Toc430015557"/>
            <w:bookmarkStart w:id="1" w:name="_Toc408997211"/>
            <w:bookmarkStart w:id="2" w:name="_Toc256000008"/>
            <w:r>
              <w:rPr>
                <w:rFonts w:hint="eastAsia" w:ascii="Times New Roman" w:hAnsi="Times New Roman" w:eastAsia="宋体" w:cs="Times New Roman"/>
                <w:sz w:val="24"/>
                <w:szCs w:val="24"/>
                <w:lang w:val="en-US" w:eastAsia="zh-CN"/>
              </w:rPr>
              <w:t>三、企业能源管理现状</w:t>
            </w:r>
            <w:bookmarkEnd w:id="0"/>
            <w:bookmarkEnd w:id="1"/>
            <w:bookmarkEnd w:id="2"/>
          </w:p>
          <w:p>
            <w:pPr>
              <w:rPr>
                <w:rFonts w:hint="eastAsia" w:ascii="Times New Roman" w:hAnsi="Times New Roman" w:eastAsia="宋体" w:cs="Times New Roman"/>
                <w:sz w:val="24"/>
                <w:szCs w:val="24"/>
                <w:lang w:val="en-US" w:eastAsia="zh-CN"/>
              </w:rPr>
            </w:pPr>
            <w:bookmarkStart w:id="3" w:name="_Toc256000009"/>
            <w:bookmarkStart w:id="4" w:name="_Toc430015558"/>
            <w:bookmarkStart w:id="5" w:name="_Toc408997212"/>
            <w:r>
              <w:rPr>
                <w:rFonts w:hint="eastAsia" w:ascii="Times New Roman" w:hAnsi="Times New Roman" w:eastAsia="宋体" w:cs="Times New Roman"/>
                <w:sz w:val="24"/>
                <w:szCs w:val="24"/>
                <w:lang w:val="en-US" w:eastAsia="zh-CN"/>
              </w:rPr>
              <w:t>（一）能源种类及来源</w:t>
            </w:r>
            <w:bookmarkEnd w:id="3"/>
            <w:bookmarkEnd w:id="4"/>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公司消耗的能源主要是电力。</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bookmarkStart w:id="6" w:name="_Toc256000010"/>
            <w:bookmarkStart w:id="7" w:name="_Toc430015559"/>
            <w:r>
              <w:rPr>
                <w:rFonts w:hint="eastAsia" w:ascii="Times New Roman" w:hAnsi="Times New Roman" w:eastAsia="宋体" w:cs="Times New Roman"/>
                <w:sz w:val="24"/>
                <w:szCs w:val="24"/>
                <w:lang w:val="en-US" w:eastAsia="zh-CN"/>
              </w:rPr>
              <w:t>（二）生产工艺流程</w:t>
            </w:r>
            <w:bookmarkEnd w:id="6"/>
            <w:bookmarkEnd w:id="7"/>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公司有生产车间。</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公司以PVC树脂、PE树脂、PP树脂为主要原料，产品为塑料管材。</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具体的工艺流程如图所示：</w:t>
            </w:r>
          </w:p>
          <w:p>
            <w:pPr>
              <w:rPr>
                <w:rFonts w:hint="default" w:ascii="Times New Roman" w:hAnsi="Times New Roman" w:eastAsia="宋体" w:cs="Times New Roman"/>
                <w:sz w:val="24"/>
                <w:szCs w:val="24"/>
                <w:lang w:val="en-US" w:eastAsia="zh-CN"/>
              </w:rPr>
            </w:pPr>
            <w:bookmarkStart w:id="8" w:name="_Toc430015560"/>
            <w:bookmarkStart w:id="9" w:name="_Toc256000011"/>
            <w:r>
              <w:rPr>
                <w:rFonts w:hint="eastAsia" w:ascii="Times New Roman" w:hAnsi="Times New Roman" w:eastAsia="宋体" w:cs="Times New Roman"/>
                <w:sz w:val="24"/>
                <w:szCs w:val="24"/>
                <w:lang w:val="en-US" w:eastAsia="zh-CN"/>
              </w:rPr>
              <w:t>配料→混料→挤出→真空定径→牵引→喷码标识→切割→包装→入库堆放。</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（三）主要耗能设备</w:t>
            </w:r>
            <w:bookmarkEnd w:id="8"/>
            <w:bookmarkEnd w:id="9"/>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公司主要用能设备有注塑机、挤出机、混料机、空压机、破碎机、水泵等，详见下表。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企业主要耗能设备情况表</w:t>
            </w:r>
          </w:p>
          <w:tbl>
            <w:tblPr>
              <w:tblStyle w:val="10"/>
              <w:tblW w:w="5000" w:type="pct"/>
              <w:tblInd w:w="0" w:type="dxa"/>
              <w:tblLayout w:type="fixed"/>
              <w:tblCellMar>
                <w:top w:w="0" w:type="dxa"/>
                <w:left w:w="108" w:type="dxa"/>
                <w:bottom w:w="0" w:type="dxa"/>
                <w:right w:w="108" w:type="dxa"/>
              </w:tblCellMar>
            </w:tblPr>
            <w:tblGrid>
              <w:gridCol w:w="608"/>
              <w:gridCol w:w="960"/>
              <w:gridCol w:w="964"/>
              <w:gridCol w:w="1450"/>
              <w:gridCol w:w="964"/>
              <w:gridCol w:w="1287"/>
              <w:gridCol w:w="1127"/>
              <w:gridCol w:w="1287"/>
              <w:gridCol w:w="1228"/>
              <w:gridCol w:w="663"/>
            </w:tblGrid>
            <w:tr>
              <w:tblPrEx>
                <w:tblCellMar>
                  <w:top w:w="0" w:type="dxa"/>
                  <w:left w:w="108" w:type="dxa"/>
                  <w:bottom w:w="0" w:type="dxa"/>
                  <w:right w:w="108" w:type="dxa"/>
                </w:tblCellMar>
              </w:tblPrEx>
              <w:trPr>
                <w:trHeight w:val="758" w:hRule="atLeast"/>
              </w:trPr>
              <w:tc>
                <w:tcPr>
                  <w:tcW w:w="288" w:type="pct"/>
                  <w:tcBorders>
                    <w:top w:val="single" w:color="auto" w:sz="4" w:space="0"/>
                    <w:left w:val="single" w:color="auto" w:sz="4" w:space="0"/>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序号</w:t>
                  </w:r>
                </w:p>
              </w:tc>
              <w:tc>
                <w:tcPr>
                  <w:tcW w:w="455"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使用位置</w:t>
                  </w:r>
                </w:p>
              </w:tc>
              <w:tc>
                <w:tcPr>
                  <w:tcW w:w="457"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设备名称</w:t>
                  </w:r>
                </w:p>
              </w:tc>
              <w:tc>
                <w:tcPr>
                  <w:tcW w:w="687"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规格型号</w:t>
                  </w:r>
                </w:p>
              </w:tc>
              <w:tc>
                <w:tcPr>
                  <w:tcW w:w="457"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台数</w:t>
                  </w:r>
                </w:p>
              </w:tc>
              <w:tc>
                <w:tcPr>
                  <w:tcW w:w="610"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总容量/功率</w:t>
                  </w:r>
                </w:p>
              </w:tc>
              <w:tc>
                <w:tcPr>
                  <w:tcW w:w="534"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耗能种类</w:t>
                  </w:r>
                </w:p>
              </w:tc>
              <w:tc>
                <w:tcPr>
                  <w:tcW w:w="610"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运行状态</w:t>
                  </w:r>
                </w:p>
              </w:tc>
              <w:tc>
                <w:tcPr>
                  <w:tcW w:w="582" w:type="pct"/>
                  <w:tcBorders>
                    <w:top w:val="single" w:color="auto" w:sz="4" w:space="0"/>
                    <w:left w:val="nil"/>
                    <w:bottom w:val="nil"/>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是否属于淘汰设备</w:t>
                  </w:r>
                </w:p>
              </w:tc>
              <w:tc>
                <w:tcPr>
                  <w:tcW w:w="314" w:type="pct"/>
                  <w:tcBorders>
                    <w:top w:val="single" w:color="auto" w:sz="4" w:space="0"/>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备注</w:t>
                  </w:r>
                </w:p>
              </w:tc>
            </w:tr>
            <w:tr>
              <w:tblPrEx>
                <w:tblCellMar>
                  <w:top w:w="0" w:type="dxa"/>
                  <w:left w:w="108" w:type="dxa"/>
                  <w:bottom w:w="0" w:type="dxa"/>
                  <w:right w:w="108" w:type="dxa"/>
                </w:tblCellMar>
              </w:tblPrEx>
              <w:trPr>
                <w:trHeight w:val="510" w:hRule="atLeast"/>
              </w:trPr>
              <w:tc>
                <w:tcPr>
                  <w:tcW w:w="288" w:type="pct"/>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p>
              </w:tc>
              <w:tc>
                <w:tcPr>
                  <w:tcW w:w="455" w:type="pct"/>
                  <w:tcBorders>
                    <w:top w:val="single" w:color="auto" w:sz="4" w:space="0"/>
                    <w:left w:val="nil"/>
                    <w:bottom w:val="single" w:color="auto" w:sz="4" w:space="0"/>
                    <w:right w:val="single" w:color="auto" w:sz="4" w:space="0"/>
                  </w:tcBorders>
                  <w:shd w:val="clear" w:color="auto" w:fill="auto"/>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w:t>
                  </w:r>
                </w:p>
              </w:tc>
              <w:tc>
                <w:tcPr>
                  <w:tcW w:w="457" w:type="pct"/>
                  <w:tcBorders>
                    <w:top w:val="single" w:color="auto" w:sz="4" w:space="0"/>
                    <w:left w:val="nil"/>
                    <w:bottom w:val="single" w:color="auto" w:sz="4" w:space="0"/>
                    <w:right w:val="single" w:color="auto" w:sz="4" w:space="0"/>
                  </w:tcBorders>
                  <w:shd w:val="clear" w:color="auto" w:fill="auto"/>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注塑机</w:t>
                  </w:r>
                </w:p>
              </w:tc>
              <w:tc>
                <w:tcPr>
                  <w:tcW w:w="687" w:type="pct"/>
                  <w:tcBorders>
                    <w:top w:val="single" w:color="auto" w:sz="4" w:space="0"/>
                    <w:left w:val="nil"/>
                    <w:bottom w:val="single" w:color="auto" w:sz="4" w:space="0"/>
                    <w:right w:val="single" w:color="auto" w:sz="4" w:space="0"/>
                  </w:tcBorders>
                  <w:shd w:val="clear" w:color="auto" w:fill="auto"/>
                  <w:noWrap w:val="0"/>
                  <w:vAlign w:val="center"/>
                </w:tcPr>
                <w:p>
                  <w:pPr>
                    <w:rPr>
                      <w:rFonts w:hint="eastAsia" w:ascii="Times New Roman" w:hAnsi="Times New Roman" w:eastAsia="宋体" w:cs="Times New Roman"/>
                      <w:sz w:val="24"/>
                      <w:szCs w:val="24"/>
                      <w:lang w:val="en-US" w:eastAsia="zh-CN"/>
                    </w:rPr>
                  </w:pPr>
                </w:p>
              </w:tc>
              <w:tc>
                <w:tcPr>
                  <w:tcW w:w="457" w:type="pct"/>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w:t>
                  </w:r>
                </w:p>
              </w:tc>
              <w:tc>
                <w:tcPr>
                  <w:tcW w:w="610" w:type="pct"/>
                  <w:tcBorders>
                    <w:top w:val="single" w:color="auto" w:sz="4" w:space="0"/>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single" w:color="auto" w:sz="4" w:space="0"/>
                    <w:left w:val="nil"/>
                    <w:bottom w:val="single" w:color="auto" w:sz="4" w:space="0"/>
                    <w:right w:val="single" w:color="auto" w:sz="4" w:space="0"/>
                  </w:tcBorders>
                  <w:shd w:val="clear" w:color="auto" w:fill="auto"/>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single" w:color="auto" w:sz="4" w:space="0"/>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p>
              </w:tc>
              <w:tc>
                <w:tcPr>
                  <w:tcW w:w="455" w:type="pct"/>
                  <w:tcBorders>
                    <w:top w:val="nil"/>
                    <w:left w:val="nil"/>
                    <w:bottom w:val="single" w:color="auto" w:sz="4" w:space="0"/>
                    <w:right w:val="single" w:color="auto" w:sz="4" w:space="0"/>
                  </w:tcBorders>
                  <w:shd w:val="clear" w:color="auto" w:fill="auto"/>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w:t>
                  </w:r>
                </w:p>
              </w:tc>
              <w:tc>
                <w:tcPr>
                  <w:tcW w:w="457" w:type="pct"/>
                  <w:tcBorders>
                    <w:top w:val="nil"/>
                    <w:left w:val="nil"/>
                    <w:bottom w:val="single" w:color="auto" w:sz="4" w:space="0"/>
                    <w:right w:val="single" w:color="auto" w:sz="4" w:space="0"/>
                  </w:tcBorders>
                  <w:shd w:val="clear" w:color="auto" w:fill="auto"/>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挤出机</w:t>
                  </w:r>
                </w:p>
              </w:tc>
              <w:tc>
                <w:tcPr>
                  <w:tcW w:w="687" w:type="pct"/>
                  <w:tcBorders>
                    <w:top w:val="nil"/>
                    <w:left w:val="nil"/>
                    <w:bottom w:val="single" w:color="auto" w:sz="4" w:space="0"/>
                    <w:right w:val="single" w:color="auto" w:sz="4" w:space="0"/>
                  </w:tcBorders>
                  <w:shd w:val="clear" w:color="auto" w:fill="auto"/>
                  <w:noWrap w:val="0"/>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80</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空压机</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水泵</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w:t>
                  </w:r>
                </w:p>
              </w:tc>
              <w:tc>
                <w:tcPr>
                  <w:tcW w:w="45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破碎机</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办公室</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空调</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64</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车间、库房</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灯具</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351</w:t>
                  </w:r>
                </w:p>
              </w:tc>
              <w:tc>
                <w:tcPr>
                  <w:tcW w:w="610"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52kw</w:t>
                  </w:r>
                </w:p>
              </w:tc>
              <w:tc>
                <w:tcPr>
                  <w:tcW w:w="534"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办公室</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灯具</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r>
              <w:tblPrEx>
                <w:tblCellMar>
                  <w:top w:w="0" w:type="dxa"/>
                  <w:left w:w="108" w:type="dxa"/>
                  <w:bottom w:w="0" w:type="dxa"/>
                  <w:right w:w="108" w:type="dxa"/>
                </w:tblCellMar>
              </w:tblPrEx>
              <w:trPr>
                <w:trHeight w:val="510" w:hRule="atLeast"/>
              </w:trPr>
              <w:tc>
                <w:tcPr>
                  <w:tcW w:w="288" w:type="pct"/>
                  <w:tcBorders>
                    <w:top w:val="nil"/>
                    <w:left w:val="single" w:color="auto" w:sz="4" w:space="0"/>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p>
              </w:tc>
              <w:tc>
                <w:tcPr>
                  <w:tcW w:w="455"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办公室</w:t>
                  </w: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电脑</w:t>
                  </w:r>
                </w:p>
              </w:tc>
              <w:tc>
                <w:tcPr>
                  <w:tcW w:w="687"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457"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51</w:t>
                  </w:r>
                </w:p>
              </w:tc>
              <w:tc>
                <w:tcPr>
                  <w:tcW w:w="610" w:type="pct"/>
                  <w:tcBorders>
                    <w:top w:val="nil"/>
                    <w:left w:val="nil"/>
                    <w:bottom w:val="single" w:color="auto" w:sz="4" w:space="0"/>
                    <w:right w:val="single" w:color="auto" w:sz="4" w:space="0"/>
                  </w:tcBorders>
                  <w:shd w:val="clear" w:color="auto" w:fill="auto"/>
                  <w:noWrap/>
                  <w:vAlign w:val="center"/>
                </w:tcPr>
                <w:p>
                  <w:pPr>
                    <w:rPr>
                      <w:rFonts w:hint="eastAsia" w:ascii="Times New Roman" w:hAnsi="Times New Roman" w:eastAsia="宋体" w:cs="Times New Roman"/>
                      <w:sz w:val="24"/>
                      <w:szCs w:val="24"/>
                      <w:lang w:val="en-US" w:eastAsia="zh-CN"/>
                    </w:rPr>
                  </w:pPr>
                </w:p>
              </w:tc>
              <w:tc>
                <w:tcPr>
                  <w:tcW w:w="534"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电能</w:t>
                  </w:r>
                </w:p>
              </w:tc>
              <w:tc>
                <w:tcPr>
                  <w:tcW w:w="610"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w:t>
                  </w:r>
                </w:p>
              </w:tc>
              <w:tc>
                <w:tcPr>
                  <w:tcW w:w="582" w:type="pct"/>
                  <w:tcBorders>
                    <w:top w:val="nil"/>
                    <w:left w:val="nil"/>
                    <w:bottom w:val="single" w:color="auto" w:sz="4" w:space="0"/>
                    <w:right w:val="single" w:color="auto" w:sz="4" w:space="0"/>
                  </w:tcBorders>
                  <w:shd w:val="clear" w:color="auto" w:fill="auto"/>
                  <w:noWrap/>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14" w:type="pct"/>
                  <w:tcBorders>
                    <w:top w:val="nil"/>
                    <w:left w:val="nil"/>
                    <w:bottom w:val="single" w:color="auto" w:sz="4" w:space="0"/>
                    <w:right w:val="single" w:color="auto" w:sz="4" w:space="0"/>
                  </w:tcBorders>
                  <w:shd w:val="clear" w:color="000000" w:fill="FFFFFF"/>
                  <w:noWrap w:val="0"/>
                  <w:vAlign w:val="center"/>
                </w:tcPr>
                <w:p>
                  <w:pPr>
                    <w:rPr>
                      <w:rFonts w:hint="eastAsia" w:ascii="Times New Roman" w:hAnsi="Times New Roman" w:eastAsia="宋体" w:cs="Times New Roman"/>
                      <w:sz w:val="24"/>
                      <w:szCs w:val="24"/>
                      <w:lang w:val="en-US" w:eastAsia="zh-CN"/>
                    </w:rPr>
                  </w:pPr>
                </w:p>
              </w:tc>
            </w:tr>
          </w:tbl>
          <w:p>
            <w:pPr>
              <w:jc w:val="left"/>
              <w:rPr>
                <w:rFonts w:hint="eastAsia" w:ascii="Times New Roman" w:hAnsi="Times New Roman" w:eastAsia="宋体" w:cs="Times New Roman"/>
                <w:sz w:val="24"/>
                <w:szCs w:val="24"/>
                <w:lang w:val="en-US" w:eastAsia="zh-CN"/>
              </w:rPr>
            </w:pPr>
          </w:p>
          <w:p>
            <w:pPr>
              <w:jc w:val="left"/>
              <w:rPr>
                <w:rFonts w:hint="eastAsia" w:ascii="Times New Roman" w:hAnsi="Times New Roman" w:eastAsia="宋体" w:cs="Times New Roman"/>
                <w:sz w:val="24"/>
                <w:szCs w:val="24"/>
                <w:lang w:val="en-US" w:eastAsia="zh-CN"/>
              </w:rPr>
            </w:pPr>
          </w:p>
          <w:p>
            <w:pPr>
              <w:jc w:val="lef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公司相关设备的电机使用情况见下表</w:t>
            </w:r>
            <w:r>
              <w:rPr>
                <w:rFonts w:hint="eastAsia" w:ascii="Times New Roman" w:hAnsi="Times New Roman" w:eastAsia="宋体" w:cs="Times New Roman"/>
                <w:sz w:val="24"/>
                <w:szCs w:val="24"/>
                <w:lang w:val="en-US" w:eastAsia="zh-CN"/>
              </w:rPr>
              <w:drawing>
                <wp:inline distT="0" distB="0" distL="114300" distR="114300">
                  <wp:extent cx="6575425" cy="4652645"/>
                  <wp:effectExtent l="0" t="0" r="3175"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
                          <a:stretch>
                            <a:fillRect/>
                          </a:stretch>
                        </pic:blipFill>
                        <pic:spPr>
                          <a:xfrm>
                            <a:off x="0" y="0"/>
                            <a:ext cx="6575425" cy="4652645"/>
                          </a:xfrm>
                          <a:prstGeom prst="rect">
                            <a:avLst/>
                          </a:prstGeom>
                          <a:noFill/>
                          <a:ln>
                            <a:noFill/>
                          </a:ln>
                        </pic:spPr>
                      </pic:pic>
                    </a:graphicData>
                  </a:graphic>
                </wp:inline>
              </w:drawing>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电机使用情况及淘汰计划</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经与国家发布的《产业结构调整指导目录》(2013年修正) 、《部分工业行业淘汰落后生产工艺装备和产品指导目录》和《高耗能落后机电设备（产品）淘汰目录（第一批）、（第二批）、（第三批）》进行对照，未发现有淘汰的落后设备和工艺。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工业和信息化部、国家质量监督检验检疫总局2013年6月21日发布的《电机能效提升计划（2013-2015年）》（工信部联节[2013]226号）文件要求，“到2013年底，完成列入工业和信息化部《高耗能落后机电设备（产品）淘汰目录》（第一批）J系列在用电机及第二批淘汰目录中1993年前生产的Y系列三相异步电机的淘汰任务；2015年年底前，完成2003年前生产的Y系列三相异步电机及Y2和Y3系列电机的淘汰任务”。根据设备资料，公司未使用Y、Y2、Y3系列电机，且均在2003年后生产，不在淘汰目录中。</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公司有入户电表，来计量用电情况。</w:t>
            </w:r>
          </w:p>
          <w:p>
            <w:pPr>
              <w:rPr>
                <w:rFonts w:hint="eastAsia" w:ascii="Times New Roman" w:hAnsi="Times New Roman" w:eastAsia="宋体" w:cs="Times New Roman"/>
                <w:sz w:val="24"/>
                <w:szCs w:val="24"/>
                <w:lang w:val="en-US" w:eastAsia="zh-CN"/>
              </w:rPr>
            </w:pPr>
          </w:p>
          <w:bookmarkEnd w:id="5"/>
          <w:p>
            <w:pPr>
              <w:rPr>
                <w:rFonts w:hint="eastAsia" w:ascii="Times New Roman" w:hAnsi="Times New Roman" w:eastAsia="宋体" w:cs="Times New Roman"/>
                <w:sz w:val="24"/>
                <w:szCs w:val="24"/>
                <w:lang w:val="en-US" w:eastAsia="zh-CN"/>
              </w:rPr>
            </w:pPr>
            <w:bookmarkStart w:id="10" w:name="_Toc430015562"/>
            <w:bookmarkStart w:id="11" w:name="_Toc256000013"/>
            <w:r>
              <w:rPr>
                <w:rFonts w:hint="eastAsia" w:ascii="Times New Roman" w:hAnsi="Times New Roman" w:eastAsia="宋体" w:cs="Times New Roman"/>
                <w:sz w:val="24"/>
                <w:szCs w:val="24"/>
                <w:lang w:val="en-US" w:eastAsia="zh-CN"/>
              </w:rPr>
              <w:t>能源计量设备及其配备情况</w:t>
            </w:r>
            <w:bookmarkEnd w:id="10"/>
            <w:bookmarkEnd w:id="11"/>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功能结构单一，仅使用电能，电表共98块，其中总表4块，二级表7块，分别计量HDPE波纹管车间、PVC注塑车间、PE梅花管车间、PPR给水管车间以及办公楼和道路照明。三级表共87块，其中HDPE车间三级表共12块，9条生产线各安装1块三级表，该车间两台空压机各安装1块电表，循环水水泵安装1块电表；PVC注塑车间共安装三级表11块，分别安装在11条生产线上；PVC挤出车间三级表共安装40块，其中35条挤出线各安装1块，车间内冷却塔安装1块电表、2台空压机各安装一块电表、2台循环水水泵各安装一块电表；PE梅花管车间共安装三级电表11块，其中10条生产线各安装1块，车间内循环水水泵安装1块电表；PPR给水管车间共安装13块3级电表，其中9条生产线各安装1块电表，车间内2台空压机，两台水泵各安装1块电表。我厂电计量达到三级配备，满足GB17167的要求。我厂用水为市政用水，共安装水表95块，其中一级水表2块，二级水表93块，其中HDPE波纹管车间、PVC注塑车间、PE梅花管车间、PPR给水管二级水表各两块，分别计量车间生活用水及消防用水，办公楼二级水表1块，计量办公区域生活用水，厂区内还装有2块消防用水水表，另外宿舍楼安装二级电表80块，公司无重点用水设备，无需三级计量，水计量器具配备符合GB24789标准要求。</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6565900" cy="2045335"/>
                  <wp:effectExtent l="0" t="0" r="0"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1"/>
                          <a:stretch>
                            <a:fillRect/>
                          </a:stretch>
                        </pic:blipFill>
                        <pic:spPr>
                          <a:xfrm>
                            <a:off x="0" y="0"/>
                            <a:ext cx="6565900" cy="2045335"/>
                          </a:xfrm>
                          <a:prstGeom prst="rect">
                            <a:avLst/>
                          </a:prstGeom>
                          <a:noFill/>
                          <a:ln>
                            <a:noFill/>
                          </a:ln>
                        </pic:spPr>
                      </pic:pic>
                    </a:graphicData>
                  </a:graphic>
                </wp:inline>
              </w:drawing>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bookmarkStart w:id="12" w:name="_Toc256000014"/>
            <w:bookmarkStart w:id="13" w:name="_Toc430015563"/>
            <w:r>
              <w:rPr>
                <w:rFonts w:hint="eastAsia" w:ascii="Times New Roman" w:hAnsi="Times New Roman" w:eastAsia="宋体" w:cs="Times New Roman"/>
                <w:sz w:val="24"/>
                <w:szCs w:val="24"/>
                <w:lang w:val="en-US" w:eastAsia="zh-CN"/>
              </w:rPr>
              <w:t>（五）企业能源管理情况</w:t>
            </w:r>
            <w:bookmarkEnd w:id="12"/>
            <w:bookmarkEnd w:id="13"/>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了加强能源管理工作，降低消耗，提高能源利用率，推进公司节约能源，公司成立了以朱骏为组长的公司节能领导小组，负责整个公司的能源管理工作，公司各部门、分厂负责人和职能部门能源管理员为小组成员。企业能源管理机构图见下图。</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小组负责节能目标推进实施，制定日常能源管理规定、牵头组织节能活动以及不定期检查工作，小组定期召开会议，分析能源消耗情况。目前公司设有专职的能源管理人员，负责公司内部能源消耗的测算、各部门用能情况的汇总，日常的用能管理办法的起草、检查等管理工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为进一步加强分公司的能源管理，以节能降耗、确保成本指标的全面完成，</w:t>
            </w:r>
            <w:r>
              <w:rPr>
                <w:rFonts w:hint="eastAsia" w:cs="Times New Roman"/>
                <w:sz w:val="24"/>
                <w:szCs w:val="24"/>
                <w:lang w:val="en-US" w:eastAsia="zh-CN"/>
              </w:rPr>
              <w:t>徐辉荣</w:t>
            </w:r>
            <w:r>
              <w:rPr>
                <w:rFonts w:hint="eastAsia" w:ascii="Times New Roman" w:hAnsi="Times New Roman" w:eastAsia="宋体" w:cs="Times New Roman"/>
                <w:sz w:val="24"/>
                <w:szCs w:val="24"/>
                <w:lang w:val="en-US" w:eastAsia="zh-CN"/>
              </w:rPr>
              <w:t>牵头建立了能源管理三级网络系统。能源三级管理网络系统，分别由专人负责此项工作，要求各级按照各自的职责，层层抓落实，层层抓考核，一级对一级负责，确保成本指标细化到位，节能降耗落到实处。</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根据国家能源工作方针政策和能源管理标准，公司制订了能源采购、能源财务、能源生产管理、能源计量统计、能源计量人员岗位责任、能源消耗定额考核标准和节能奖惩制度、能源宣传教育和培训等管理制度。</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公司能源管理制度建设情况</w:t>
            </w:r>
          </w:p>
          <w:tbl>
            <w:tblPr>
              <w:tblStyle w:val="1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3598"/>
              <w:gridCol w:w="813"/>
              <w:gridCol w:w="813"/>
              <w:gridCol w:w="813"/>
              <w:gridCol w:w="813"/>
              <w:gridCol w:w="813"/>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序号</w:t>
                  </w:r>
                </w:p>
              </w:tc>
              <w:tc>
                <w:tcPr>
                  <w:tcW w:w="1709"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制度名称</w:t>
                  </w:r>
                </w:p>
              </w:tc>
              <w:tc>
                <w:tcPr>
                  <w:tcW w:w="772" w:type="pct"/>
                  <w:gridSpan w:val="2"/>
                  <w:tcBorders>
                    <w:bottom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是否制定</w:t>
                  </w:r>
                </w:p>
              </w:tc>
              <w:tc>
                <w:tcPr>
                  <w:tcW w:w="1158" w:type="pct"/>
                  <w:gridSpan w:val="3"/>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适宜性</w:t>
                  </w:r>
                </w:p>
              </w:tc>
              <w:tc>
                <w:tcPr>
                  <w:tcW w:w="985" w:type="pct"/>
                  <w:vMerge w:val="restar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376" w:type="pct"/>
                  <w:vMerge w:val="continue"/>
                  <w:noWrap w:val="0"/>
                  <w:vAlign w:val="center"/>
                </w:tcPr>
                <w:p>
                  <w:pPr>
                    <w:rPr>
                      <w:rFonts w:hint="eastAsia" w:ascii="Times New Roman" w:hAnsi="Times New Roman" w:eastAsia="宋体" w:cs="Times New Roman"/>
                      <w:sz w:val="24"/>
                      <w:szCs w:val="24"/>
                      <w:lang w:val="en-US" w:eastAsia="zh-CN"/>
                    </w:rPr>
                  </w:pPr>
                </w:p>
              </w:tc>
              <w:tc>
                <w:tcPr>
                  <w:tcW w:w="1709" w:type="pct"/>
                  <w:vMerge w:val="continue"/>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auto"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w:t>
                  </w:r>
                </w:p>
              </w:tc>
              <w:tc>
                <w:tcPr>
                  <w:tcW w:w="386" w:type="pct"/>
                  <w:tcBorders>
                    <w:top w:val="single" w:color="auto" w:sz="4" w:space="0"/>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否</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好</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中</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差</w:t>
                  </w:r>
                </w:p>
              </w:tc>
              <w:tc>
                <w:tcPr>
                  <w:tcW w:w="985" w:type="pct"/>
                  <w:vMerge w:val="continue"/>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能源采购和审批管理制度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能源财务管理制度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能源生产管理制度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能源计量统计制度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能源计量器具管理制度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能源计量人员岗位责任制</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能源消耗定额、考核标准和节能奖惩制度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能源宣传教育和培训制度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p>
              </w:tc>
              <w:tc>
                <w:tcPr>
                  <w:tcW w:w="170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节能技改措施评审及实施制度</w:t>
                  </w:r>
                </w:p>
              </w:tc>
              <w:tc>
                <w:tcPr>
                  <w:tcW w:w="386"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noWrap w:val="0"/>
                  <w:vAlign w:val="center"/>
                </w:tcPr>
                <w:p>
                  <w:pPr>
                    <w:rPr>
                      <w:rFonts w:hint="eastAsia" w:ascii="Times New Roman" w:hAnsi="Times New Roman" w:eastAsia="宋体" w:cs="Times New Roman"/>
                      <w:sz w:val="24"/>
                      <w:szCs w:val="24"/>
                      <w:lang w:val="en-US" w:eastAsia="zh-CN"/>
                    </w:rPr>
                  </w:pPr>
                </w:p>
              </w:tc>
              <w:tc>
                <w:tcPr>
                  <w:tcW w:w="386" w:type="pct"/>
                  <w:noWrap w:val="0"/>
                  <w:vAlign w:val="center"/>
                </w:tcPr>
                <w:p>
                  <w:pPr>
                    <w:rPr>
                      <w:rFonts w:hint="eastAsia" w:ascii="Times New Roman" w:hAnsi="Times New Roman" w:eastAsia="宋体" w:cs="Times New Roman"/>
                      <w:sz w:val="24"/>
                      <w:szCs w:val="24"/>
                      <w:lang w:val="en-US" w:eastAsia="zh-CN"/>
                    </w:rPr>
                  </w:pPr>
                </w:p>
              </w:tc>
              <w:tc>
                <w:tcPr>
                  <w:tcW w:w="985" w:type="pct"/>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p>
              </w:tc>
              <w:tc>
                <w:tcPr>
                  <w:tcW w:w="170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合理化建议奖励制度</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auto"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985"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37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w:t>
                  </w:r>
                </w:p>
              </w:tc>
              <w:tc>
                <w:tcPr>
                  <w:tcW w:w="1709"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能源对标先进信息收集制度</w:t>
                  </w:r>
                </w:p>
              </w:tc>
              <w:tc>
                <w:tcPr>
                  <w:tcW w:w="386" w:type="pct"/>
                  <w:tcBorders>
                    <w:top w:val="single" w:color="000000" w:sz="4" w:space="0"/>
                    <w:left w:val="single" w:color="000000" w:sz="4" w:space="0"/>
                    <w:bottom w:val="single" w:color="000000" w:sz="4" w:space="0"/>
                    <w:right w:val="single" w:color="auto"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auto"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c>
                <w:tcPr>
                  <w:tcW w:w="985" w:type="pct"/>
                  <w:tcBorders>
                    <w:top w:val="single" w:color="000000" w:sz="4" w:space="0"/>
                    <w:left w:val="single" w:color="000000" w:sz="4" w:space="0"/>
                    <w:bottom w:val="single" w:color="000000" w:sz="4" w:space="0"/>
                    <w:right w:val="single" w:color="000000" w:sz="4" w:space="0"/>
                  </w:tcBorders>
                  <w:noWrap w:val="0"/>
                  <w:vAlign w:val="center"/>
                </w:tcPr>
                <w:p>
                  <w:pPr>
                    <w:rPr>
                      <w:rFonts w:hint="eastAsia" w:ascii="Times New Roman" w:hAnsi="Times New Roman" w:eastAsia="宋体" w:cs="Times New Roman"/>
                      <w:sz w:val="24"/>
                      <w:szCs w:val="24"/>
                      <w:lang w:val="en-US" w:eastAsia="zh-CN"/>
                    </w:rPr>
                  </w:pPr>
                </w:p>
              </w:tc>
            </w:tr>
          </w:tbl>
          <w:p>
            <w:pPr>
              <w:rPr>
                <w:rFonts w:hint="eastAsia" w:ascii="Times New Roman" w:hAnsi="Times New Roman" w:eastAsia="宋体" w:cs="Times New Roman"/>
                <w:sz w:val="24"/>
                <w:szCs w:val="24"/>
                <w:lang w:val="en-US" w:eastAsia="zh-CN"/>
              </w:rPr>
            </w:pPr>
            <w:bookmarkStart w:id="14" w:name="_Toc430015564"/>
            <w:bookmarkStart w:id="15" w:name="_Toc256000015"/>
            <w:r>
              <w:rPr>
                <w:rFonts w:hint="eastAsia" w:ascii="Times New Roman" w:hAnsi="Times New Roman" w:eastAsia="宋体" w:cs="Times New Roman"/>
                <w:sz w:val="24"/>
                <w:szCs w:val="24"/>
                <w:lang w:val="en-US" w:eastAsia="zh-CN"/>
              </w:rPr>
              <w:t>（六）余能种类及其使用状况（已利用和还未利用的余能有哪些，有哪些技术，与后续的节能机会有衔接）</w:t>
            </w:r>
            <w:bookmarkEnd w:id="14"/>
            <w:bookmarkEnd w:id="15"/>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公司存在的主要余能有部分电机的变频改造等，本身温度相对也比较低，目前未有很好的措施展开利用。电机部分，目前已有部分电机改为变频，尚有部分电机未安装变频。</w:t>
            </w:r>
          </w:p>
          <w:p>
            <w:pPr>
              <w:rPr>
                <w:rFonts w:hint="eastAsia" w:ascii="Times New Roman" w:hAnsi="Times New Roman" w:eastAsia="宋体" w:cs="Times New Roman"/>
                <w:sz w:val="24"/>
                <w:szCs w:val="24"/>
                <w:lang w:val="en-US" w:eastAsia="zh-CN"/>
              </w:rPr>
            </w:pPr>
            <w:bookmarkStart w:id="16" w:name="_Toc430015565"/>
            <w:bookmarkStart w:id="17" w:name="_Toc256000016"/>
            <w:r>
              <w:rPr>
                <w:rFonts w:hint="eastAsia" w:ascii="Times New Roman" w:hAnsi="Times New Roman" w:eastAsia="宋体" w:cs="Times New Roman"/>
                <w:sz w:val="24"/>
                <w:szCs w:val="24"/>
                <w:lang w:val="en-US" w:eastAsia="zh-CN"/>
              </w:rPr>
              <w:t>（七）节能先进技术使用情况</w:t>
            </w:r>
            <w:bookmarkEnd w:id="16"/>
            <w:bookmarkEnd w:id="17"/>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对照《国家重点节能技术推广目录》（第一～六批）、《国家重点行业清洁生产技术导向目录》（第一～三批）、《</w:t>
            </w:r>
            <w:r>
              <w:rPr>
                <w:rFonts w:hint="eastAsia" w:ascii="Times New Roman" w:hAnsi="Times New Roman" w:eastAsia="宋体" w:cs="Times New Roman"/>
                <w:sz w:val="24"/>
                <w:szCs w:val="24"/>
                <w:lang w:val="en-US" w:eastAsia="zh-CN"/>
              </w:rPr>
              <w:fldChar w:fldCharType="begin"/>
            </w:r>
            <w:r>
              <w:rPr>
                <w:rFonts w:hint="eastAsia" w:ascii="Times New Roman" w:hAnsi="Times New Roman" w:eastAsia="宋体" w:cs="Times New Roman"/>
                <w:sz w:val="24"/>
                <w:szCs w:val="24"/>
                <w:lang w:val="en-US" w:eastAsia="zh-CN"/>
              </w:rPr>
              <w:instrText xml:space="preserve"> HYPERLINK "http://www.gov.cn/zwgk/2011-12/15/content_2020950.htm" \t "_blank" </w:instrText>
            </w:r>
            <w:r>
              <w:rPr>
                <w:rFonts w:hint="eastAsia" w:ascii="Times New Roman" w:hAnsi="Times New Roman" w:eastAsia="宋体" w:cs="Times New Roman"/>
                <w:sz w:val="24"/>
                <w:szCs w:val="24"/>
                <w:lang w:val="en-US" w:eastAsia="zh-CN"/>
              </w:rPr>
              <w:fldChar w:fldCharType="separate"/>
            </w:r>
            <w:r>
              <w:rPr>
                <w:rFonts w:hint="eastAsia" w:ascii="Times New Roman" w:hAnsi="Times New Roman" w:eastAsia="宋体" w:cs="Times New Roman"/>
                <w:sz w:val="24"/>
                <w:szCs w:val="24"/>
                <w:lang w:val="en-US" w:eastAsia="zh-CN"/>
              </w:rPr>
              <w:t>节能机电设备(产品)推荐目录</w:t>
            </w:r>
            <w:r>
              <w:rPr>
                <w:rFonts w:hint="eastAsia" w:ascii="Times New Roman" w:hAnsi="Times New Roman" w:eastAsia="宋体" w:cs="Times New Roman"/>
                <w:sz w:val="24"/>
                <w:szCs w:val="24"/>
                <w:lang w:val="en-US" w:eastAsia="zh-CN"/>
              </w:rPr>
              <w:fldChar w:fldCharType="end"/>
            </w:r>
            <w:r>
              <w:rPr>
                <w:rFonts w:hint="eastAsia" w:ascii="Times New Roman" w:hAnsi="Times New Roman" w:eastAsia="宋体" w:cs="Times New Roman"/>
                <w:sz w:val="24"/>
                <w:szCs w:val="24"/>
                <w:lang w:val="en-US" w:eastAsia="zh-CN"/>
              </w:rPr>
              <w:t>》（第一～五批）等，公司目前已实施和引进的先进技术、设备有：</w:t>
            </w:r>
          </w:p>
          <w:p>
            <w:pPr>
              <w:rPr>
                <w:rFonts w:hint="eastAsia" w:ascii="Times New Roman" w:hAnsi="Times New Roman" w:eastAsia="宋体" w:cs="Times New Roman"/>
                <w:sz w:val="24"/>
                <w:szCs w:val="24"/>
                <w:lang w:val="en-US" w:eastAsia="zh-CN"/>
              </w:rPr>
            </w:pPr>
            <w:bookmarkStart w:id="18" w:name="_Toc408997218"/>
            <w:bookmarkStart w:id="19" w:name="_Toc430015568"/>
            <w:bookmarkStart w:id="20" w:name="_Toc256000019"/>
            <w:r>
              <w:rPr>
                <w:rFonts w:hint="eastAsia" w:ascii="Times New Roman" w:hAnsi="Times New Roman" w:eastAsia="宋体" w:cs="Times New Roman"/>
                <w:sz w:val="24"/>
                <w:szCs w:val="24"/>
                <w:lang w:val="en-US" w:eastAsia="zh-CN"/>
              </w:rPr>
              <w:t>四、</w:t>
            </w:r>
            <w:bookmarkEnd w:id="18"/>
            <w:r>
              <w:rPr>
                <w:rFonts w:hint="eastAsia" w:ascii="Times New Roman" w:hAnsi="Times New Roman" w:eastAsia="宋体" w:cs="Times New Roman"/>
                <w:sz w:val="24"/>
                <w:szCs w:val="24"/>
                <w:lang w:val="en-US" w:eastAsia="zh-CN"/>
              </w:rPr>
              <w:t>适用的能源法律法规及合规性评价</w:t>
            </w:r>
            <w:bookmarkEnd w:id="19"/>
            <w:bookmarkEnd w:id="20"/>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法律法规评价表（还应关注与政府、顾客的协议，上级要求、自身对外承诺、当地政府发文等。以下只是部分例子，法规清单在RB/T标准附录中有一些）</w:t>
            </w:r>
          </w:p>
          <w:tbl>
            <w:tblPr>
              <w:tblStyle w:val="10"/>
              <w:tblW w:w="9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533"/>
              <w:gridCol w:w="1317"/>
              <w:gridCol w:w="1390"/>
              <w:gridCol w:w="3635"/>
              <w:gridCol w:w="232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665" w:hRule="atLeast"/>
                <w:tblHeader/>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序号</w:t>
                  </w:r>
                </w:p>
              </w:tc>
              <w:tc>
                <w:tcPr>
                  <w:tcW w:w="1317"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相关</w:t>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法律法规</w:t>
                  </w:r>
                </w:p>
              </w:tc>
              <w:tc>
                <w:tcPr>
                  <w:tcW w:w="1390"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发布单位</w:t>
                  </w:r>
                </w:p>
              </w:tc>
              <w:tc>
                <w:tcPr>
                  <w:tcW w:w="3635"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适用条款</w:t>
                  </w:r>
                </w:p>
              </w:tc>
              <w:tc>
                <w:tcPr>
                  <w:tcW w:w="2329"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企业目前情况</w:t>
                  </w:r>
                </w:p>
              </w:tc>
              <w:tc>
                <w:tcPr>
                  <w:tcW w:w="669" w:type="dxa"/>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162" w:hRule="atLeast"/>
                <w:jc w:val="center"/>
              </w:trPr>
              <w:tc>
                <w:tcPr>
                  <w:tcW w:w="533"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2707" w:type="dxa"/>
                  <w:gridSpan w:val="2"/>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中华人民共和国节约能源法</w:t>
                  </w:r>
                  <w:r>
                    <w:rPr>
                      <w:rFonts w:hint="eastAsia" w:ascii="Times New Roman" w:hAnsi="Times New Roman" w:eastAsia="宋体" w:cs="Times New Roman"/>
                      <w:color w:val="0000FF"/>
                      <w:sz w:val="21"/>
                      <w:szCs w:val="21"/>
                      <w:lang w:val="en-US" w:eastAsia="zh-CN"/>
                    </w:rPr>
                    <w:t>（2018年10月26日修订）</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第十六条 生产过程中耗能高的产品的生产单位，应当执行单位产品能耗限额标准。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公司已制定单位产品的耗能限额标准</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90" w:hRule="atLeast"/>
                <w:jc w:val="center"/>
              </w:trPr>
              <w:tc>
                <w:tcPr>
                  <w:tcW w:w="533" w:type="dxa"/>
                  <w:vMerge w:val="continue"/>
                  <w:noWrap w:val="0"/>
                  <w:vAlign w:val="center"/>
                </w:tcPr>
                <w:p>
                  <w:pPr>
                    <w:rPr>
                      <w:rFonts w:hint="eastAsia" w:ascii="Times New Roman" w:hAnsi="Times New Roman" w:eastAsia="宋体" w:cs="Times New Roman"/>
                      <w:sz w:val="21"/>
                      <w:szCs w:val="21"/>
                      <w:lang w:val="en-US" w:eastAsia="zh-CN"/>
                    </w:rPr>
                  </w:pPr>
                </w:p>
              </w:tc>
              <w:tc>
                <w:tcPr>
                  <w:tcW w:w="2707" w:type="dxa"/>
                  <w:gridSpan w:val="2"/>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第二十五条　用能单位应当建立节能目标责任制，对节能工作取得成绩的集体、个人给予奖励。</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公司已制定节能目标和任务，并制定了相关的奖惩措施</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65" w:hRule="atLeast"/>
                <w:jc w:val="center"/>
              </w:trPr>
              <w:tc>
                <w:tcPr>
                  <w:tcW w:w="533" w:type="dxa"/>
                  <w:vMerge w:val="continue"/>
                  <w:noWrap w:val="0"/>
                  <w:vAlign w:val="center"/>
                </w:tcPr>
                <w:p>
                  <w:pPr>
                    <w:rPr>
                      <w:rFonts w:hint="eastAsia" w:ascii="Times New Roman" w:hAnsi="Times New Roman" w:eastAsia="宋体" w:cs="Times New Roman"/>
                      <w:sz w:val="21"/>
                      <w:szCs w:val="21"/>
                      <w:lang w:val="en-US" w:eastAsia="zh-CN"/>
                    </w:rPr>
                  </w:pPr>
                </w:p>
              </w:tc>
              <w:tc>
                <w:tcPr>
                  <w:tcW w:w="2707" w:type="dxa"/>
                  <w:gridSpan w:val="2"/>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第二十七条 用能单位应当建立能源消费统计和能源利用状况分析制度，对各类能源的消费实行分类计量和统计，并确保能源消费统计数据真实、完整。</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公司质计部定期有对各个分厂的能源消费进行分类计量和统计</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32" w:hRule="atLeast"/>
                <w:jc w:val="center"/>
              </w:trPr>
              <w:tc>
                <w:tcPr>
                  <w:tcW w:w="533"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317"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中华人民共和国清洁生产促进法</w:t>
                  </w:r>
                </w:p>
              </w:tc>
              <w:tc>
                <w:tcPr>
                  <w:tcW w:w="1390"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第九届全国人民代表大会常务委员会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第十七条　列入前款规定名单的企业，应当按照国务院清洁生产综合协调部门、环境保护部门的规定公布能源消耗或者重点污染物产生、排放情况，接受公众监督。</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企业目前生产情况都有得到相关部门和公众监督</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13" w:hRule="atLeast"/>
                <w:jc w:val="center"/>
              </w:trPr>
              <w:tc>
                <w:tcPr>
                  <w:tcW w:w="533"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第二十六条　企业应当在经济技术可行的条件下对生产和服务过程中产生的废物、余热等自行回收利用或者转让给有条件的其他企业和个人利用</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公司对产生的废弃物尽可能回收利用，如氧化铁皮、飞剪切头切尾等</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831" w:hRule="atLeast"/>
                <w:jc w:val="center"/>
              </w:trPr>
              <w:tc>
                <w:tcPr>
                  <w:tcW w:w="533"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第十八条　新建、改建和扩建项目应当进行环境影响评价，对原料使用、资源消耗、资源综合利用以及污染物产生与处置等进行分析论证，优先采用资源利用率高以及污染物产生量少的清洁生产技术、工艺和设备。</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公司新建项目都有做相应的环评，生产过程有优先考虑先进工艺和技术</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中华人民共和国计量法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第六届全国人民代表大会常务委员会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第十七条 使用计量器具不得破坏其准确度，损害国家和消费者的利益。</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公司未破坏计量器具的准确度</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038"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“十二五”节能减排综合性工作方案</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（十六）强化重点用能单位节能管理。建立健全企业能源管理体系。</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公司已建立能源管理体系</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节约用电管理办法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国家经济贸易委员会、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国家发展计划委员会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第十三条 国家明令淘汰的低效高耗电的工艺、技术和设备，禁止在新建或改建工程项目中采用；正在使用的应限期停止使用，不得转移他人使用。</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公司已经对设备进行统计，存在部分淘汰的电机。 </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中华人民共和国电力法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第八届全国人民代表大会常务委员会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第三十一条 用户应当安装用电计量装置。用户使用的电力电量，以计量检定机构依法认可的用电计量装置的记录为准。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公司目前已安装电力计量装置，并按规定检定</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“十二五”节能减排综合性工作方案</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（十六）强化重点用能单位节能管理。建立健全企业能源管理体系。</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公司正在建立能源管理体系</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12" w:hRule="atLeast"/>
                <w:jc w:val="center"/>
              </w:trPr>
              <w:tc>
                <w:tcPr>
                  <w:tcW w:w="533"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317"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能源计量监督管理办法</w:t>
                  </w:r>
                </w:p>
              </w:tc>
              <w:tc>
                <w:tcPr>
                  <w:tcW w:w="1390" w:type="dxa"/>
                  <w:vMerge w:val="restar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国家质量监督检验检疫总局</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第五条 用能单位应当建立健全能源计量管理制度，明确计量管理职责，加强能源计量管理，确保能源计量数据真实准确。</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公司已建立测量管理体系和相应制度，明确计量管理职责</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038" w:hRule="atLeast"/>
                <w:jc w:val="center"/>
              </w:trPr>
              <w:tc>
                <w:tcPr>
                  <w:tcW w:w="533" w:type="dxa"/>
                  <w:vMerge w:val="continue"/>
                  <w:noWrap w:val="0"/>
                  <w:vAlign w:val="center"/>
                </w:tcPr>
                <w:p>
                  <w:pPr>
                    <w:rPr>
                      <w:rFonts w:hint="eastAsia" w:ascii="Times New Roman" w:hAnsi="Times New Roman" w:eastAsia="宋体" w:cs="Times New Roman"/>
                      <w:sz w:val="21"/>
                      <w:szCs w:val="21"/>
                      <w:lang w:val="en-US" w:eastAsia="zh-CN"/>
                    </w:rPr>
                  </w:pPr>
                </w:p>
              </w:tc>
              <w:tc>
                <w:tcPr>
                  <w:tcW w:w="1317" w:type="dxa"/>
                  <w:vMerge w:val="continue"/>
                  <w:noWrap w:val="0"/>
                  <w:vAlign w:val="center"/>
                </w:tcPr>
                <w:p>
                  <w:pPr>
                    <w:rPr>
                      <w:rFonts w:hint="eastAsia" w:ascii="Times New Roman" w:hAnsi="Times New Roman" w:eastAsia="宋体" w:cs="Times New Roman"/>
                      <w:sz w:val="21"/>
                      <w:szCs w:val="21"/>
                      <w:lang w:val="en-US" w:eastAsia="zh-CN"/>
                    </w:rPr>
                  </w:pPr>
                </w:p>
              </w:tc>
              <w:tc>
                <w:tcPr>
                  <w:tcW w:w="1390" w:type="dxa"/>
                  <w:vMerge w:val="continue"/>
                  <w:noWrap w:val="0"/>
                  <w:vAlign w:val="center"/>
                </w:tcPr>
                <w:p>
                  <w:pPr>
                    <w:rPr>
                      <w:rFonts w:hint="eastAsia" w:ascii="Times New Roman" w:hAnsi="Times New Roman" w:eastAsia="宋体" w:cs="Times New Roman"/>
                      <w:sz w:val="21"/>
                      <w:szCs w:val="21"/>
                      <w:lang w:val="en-US" w:eastAsia="zh-CN"/>
                    </w:rPr>
                  </w:pP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第七条 用能单位应当建立能源计量器具台账，加强能源计量器具管理。</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公司已建立能源测量器具台账。</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407"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中华人民共和国水法</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第九届全国人民代表大会常务委员会</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第五十三条　新建、扩建、改建建设项目，应当制订节水措施方案，配套建设节水设施。节水设施应当与主体工程同时设计、同时施工、同时投产。</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企业目前已建立生产循环用水系统，并与主体工程同时设计、同时施工、同时投产使用</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638"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钢铁行业清洁生产评价指标体系</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国家发改委、中华人民共和国环境保护部及工业和信息化部</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钢铁联合企业清洁生产评价指标体系技术指标表中钢材综合成材率及钢材质量合格率</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企业目前已制定考核目标，并制定了相关的奖惩措施</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1253"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11</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国家重点节能技术推广目录（第五批）</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棒材多线切分与控轧控冷节能技术</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公司有采用控扎控冷节能技术，改善钢材性能，但目前没有多线切分轧制</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7" w:hRule="atLeast"/>
                <w:jc w:val="center"/>
              </w:trPr>
              <w:tc>
                <w:tcPr>
                  <w:tcW w:w="533"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1317"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国家重点节能技术推广目录（第一批）</w:t>
                  </w:r>
                </w:p>
              </w:tc>
              <w:tc>
                <w:tcPr>
                  <w:tcW w:w="1390"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国家发改委</w:t>
                  </w:r>
                </w:p>
              </w:tc>
              <w:tc>
                <w:tcPr>
                  <w:tcW w:w="3635"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蓄热式燃烧技术</w:t>
                  </w:r>
                </w:p>
              </w:tc>
              <w:tc>
                <w:tcPr>
                  <w:tcW w:w="232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目前公司三个加热炉均采用蓄热式燃烧技术</w:t>
                  </w:r>
                </w:p>
              </w:tc>
              <w:tc>
                <w:tcPr>
                  <w:tcW w:w="669" w:type="dxa"/>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符合</w:t>
                  </w:r>
                </w:p>
              </w:tc>
            </w:tr>
          </w:tbl>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评价结果如下：</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1、公司制定的能源方针、目标科学合理，从内容、方法、节约能源等方面慎重考虑了相关法律、法规和其它要求。</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2、在开展能源体系建设之初，根据《能源管理体系 要求》编制了能源管理体系的《管理手册》和《程序文件》，使能源管理体系的建立和实施有了根基。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在能源管理方面依据《中华人民共和国节约能源法》编制了《能源管理制度》，依据《重点用能单位节能管理办法》和《工业企业能源管理导则》编制了《节能管理制度》及《二次能源利用对标考核》，使节能工作的开展有了纲领和依据。</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在能源计量管理上，依据《用能单位能源计量器具配备和管理通则》编制修订了《能源计量管理制度》，明确计量管理职责，加强能源计量管理，确保能源计量数据真实准确，使能源计量工作的管理更加完善。</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5、在用电的管理和节能使用上，依据《节约用电管理办法》加强了电能的合理使用和节电工作，并将用电纳入各部门的绩效考核中，将电的利用改造纳入节能创新成果，并进行及时激励。另外建设TRT、BPRT、余热余能发电等项目利用余热余能进行发电节省用电量。 </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6、在企业用水方面依据《中华人民共和国水法》对水进行合理使用，完善水表的安装和使用，并将水的消耗纳入部门费用考核，对生产废水、生活污水进行回收利用。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7、在节能工作方面，公司成立了节能领导小组，制定节能目标和节能任务，并落实到具体车间。</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公司根据适用法律、法规和其它要求，修订了各部门的能源管理职责，制定了能源管理文件，在资源配置、策划要求、现场运行控制、可施加影响的信息沟通和持续改进等方面都有明确的体现。比如设置了能源管理科、增设了能源管理岗位、成立了能源管理体系小组等。</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9、从公司能源管理业绩上讲，未发生因公司责任引起造成能源浪费事故。</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10、存在问题：节能教育力度不够，还有大部分基层员工和新员工对相关法律法规和其它要求的具体内容了解不够，需要加强用能单位的节能教育和相关培训。</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公司的正确领导下，各部门按照能源管理体系要求加强能源管理运行，能源方针“遵守法规，淘汰换新；节能降耗，余能回用；消耗极限，改进能效。”与公司的经营宗旨相适应，为公司制定能源目标明确了方向，是与社会的可持续发展相适应的，并得到公司全体员工的理解和支持。公司各部门对各自的能源因素进行全面的识别并合理评价，对重要能源因素都制定了目标、指标管理方案，致力于降低能源消耗、提高能源效率、持续改进能源管理绩效的工作。严格遵守相关环境法律法规，对能源合理利用，确保生产经营活动满足国家有关法律法规的要求，圆满完成能源管理目标。</w:t>
            </w:r>
          </w:p>
          <w:p>
            <w:pPr>
              <w:rPr>
                <w:rFonts w:hint="eastAsia" w:ascii="Times New Roman" w:hAnsi="Times New Roman" w:eastAsia="宋体" w:cs="Times New Roman"/>
                <w:sz w:val="24"/>
                <w:szCs w:val="24"/>
                <w:lang w:val="en-US" w:eastAsia="zh-CN"/>
              </w:rPr>
            </w:pPr>
            <w:bookmarkStart w:id="21" w:name="_Toc430015569"/>
            <w:bookmarkStart w:id="22" w:name="_Toc256000020"/>
            <w:r>
              <w:rPr>
                <w:rFonts w:hint="eastAsia" w:ascii="Times New Roman" w:hAnsi="Times New Roman" w:eastAsia="宋体" w:cs="Times New Roman"/>
                <w:sz w:val="24"/>
                <w:szCs w:val="24"/>
                <w:lang w:val="en-US" w:eastAsia="zh-CN"/>
              </w:rPr>
              <w:t>五、评审结果</w:t>
            </w:r>
            <w:bookmarkEnd w:id="21"/>
            <w:bookmarkEnd w:id="22"/>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通过初始评审确认，目前公司主要能源绩效参数主要是电耗。能源绩效参数见下表，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能源绩效参数（应涵盖所确定的边界的能效参数）</w:t>
            </w:r>
          </w:p>
          <w:tbl>
            <w:tblPr>
              <w:tblStyle w:val="10"/>
              <w:tblW w:w="5191" w:type="pct"/>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2"/>
              <w:gridCol w:w="1709"/>
              <w:gridCol w:w="2190"/>
              <w:gridCol w:w="2031"/>
              <w:gridCol w:w="1545"/>
              <w:gridCol w:w="742"/>
              <w:gridCol w:w="1131"/>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trPr>
              <w:tc>
                <w:tcPr>
                  <w:tcW w:w="1047" w:type="pct"/>
                  <w:gridSpan w:val="2"/>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能源绩效参数</w:t>
                  </w:r>
                </w:p>
              </w:tc>
              <w:tc>
                <w:tcPr>
                  <w:tcW w:w="1001"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公式定义</w:t>
                  </w:r>
                </w:p>
              </w:tc>
              <w:tc>
                <w:tcPr>
                  <w:tcW w:w="928" w:type="pct"/>
                  <w:tcBorders>
                    <w:righ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绩效指标</w:t>
                  </w:r>
                </w:p>
              </w:tc>
              <w:tc>
                <w:tcPr>
                  <w:tcW w:w="70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指标依据</w:t>
                  </w:r>
                </w:p>
              </w:tc>
              <w:tc>
                <w:tcPr>
                  <w:tcW w:w="33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是否考核</w:t>
                  </w:r>
                </w:p>
              </w:tc>
              <w:tc>
                <w:tcPr>
                  <w:tcW w:w="517"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实际值</w:t>
                  </w:r>
                </w:p>
              </w:tc>
              <w:tc>
                <w:tcPr>
                  <w:tcW w:w="457"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差距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0" w:hRule="atLeast"/>
              </w:trPr>
              <w:tc>
                <w:tcPr>
                  <w:tcW w:w="266" w:type="pct"/>
                  <w:noWrap w:val="0"/>
                  <w:textDirection w:val="tbRlV"/>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公司级</w:t>
                  </w:r>
                </w:p>
              </w:tc>
              <w:tc>
                <w:tcPr>
                  <w:tcW w:w="781" w:type="pct"/>
                  <w:noWrap w:val="0"/>
                  <w:vAlign w:val="center"/>
                </w:tcPr>
                <w:p>
                  <w:pPr>
                    <w:rPr>
                      <w:rFonts w:hint="default" w:ascii="Times New Roman" w:hAnsi="Times New Roman" w:eastAsia="宋体" w:cs="Times New Roman"/>
                      <w:sz w:val="24"/>
                      <w:szCs w:val="24"/>
                      <w:lang w:val="en-US" w:eastAsia="zh-CN"/>
                    </w:rPr>
                  </w:pPr>
                  <w:r>
                    <w:rPr>
                      <w:rFonts w:hint="eastAsia" w:cs="Times New Roman"/>
                      <w:color w:val="0000FF"/>
                      <w:sz w:val="24"/>
                      <w:szCs w:val="24"/>
                      <w:lang w:val="en-US" w:eastAsia="zh-CN"/>
                    </w:rPr>
                    <w:t>单位</w:t>
                  </w:r>
                  <w:r>
                    <w:rPr>
                      <w:rFonts w:hint="eastAsia" w:ascii="Times New Roman" w:hAnsi="Times New Roman" w:eastAsia="宋体" w:cs="Times New Roman"/>
                      <w:sz w:val="24"/>
                      <w:szCs w:val="24"/>
                      <w:lang w:val="en-US" w:eastAsia="zh-CN"/>
                    </w:rPr>
                    <w:t>产品能耗</w:t>
                  </w:r>
                </w:p>
              </w:tc>
              <w:tc>
                <w:tcPr>
                  <w:tcW w:w="1001" w:type="pct"/>
                  <w:tcBorders>
                    <w:right w:val="single" w:color="auto" w:sz="4" w:space="0"/>
                  </w:tcBorders>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年耗标煤/年生产量</w:t>
                  </w:r>
                </w:p>
              </w:tc>
              <w:tc>
                <w:tcPr>
                  <w:tcW w:w="928" w:type="pct"/>
                  <w:tcBorders>
                    <w:right w:val="single" w:color="auto" w:sz="4" w:space="0"/>
                  </w:tcBorders>
                  <w:noWrap w:val="0"/>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0.06Kgce/kg</w:t>
                  </w:r>
                </w:p>
              </w:tc>
              <w:tc>
                <w:tcPr>
                  <w:tcW w:w="706" w:type="pct"/>
                  <w:tcBorders>
                    <w:left w:val="single" w:color="auto" w:sz="4" w:space="0"/>
                  </w:tcBorders>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企业年历史水平</w:t>
                  </w:r>
                </w:p>
              </w:tc>
              <w:tc>
                <w:tcPr>
                  <w:tcW w:w="339" w:type="pct"/>
                  <w:noWrap w:val="0"/>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是</w:t>
                  </w:r>
                </w:p>
              </w:tc>
              <w:tc>
                <w:tcPr>
                  <w:tcW w:w="517" w:type="pct"/>
                  <w:noWrap w:val="0"/>
                  <w:vAlign w:val="center"/>
                </w:tcPr>
                <w:p>
                  <w:pPr>
                    <w:rPr>
                      <w:rFonts w:hint="default" w:ascii="Times New Roman" w:hAnsi="Times New Roman" w:eastAsia="宋体" w:cs="Times New Roman"/>
                      <w:sz w:val="24"/>
                      <w:szCs w:val="24"/>
                      <w:lang w:val="en-US" w:eastAsia="zh-CN"/>
                    </w:rPr>
                  </w:pPr>
                </w:p>
              </w:tc>
              <w:tc>
                <w:tcPr>
                  <w:tcW w:w="457" w:type="pct"/>
                  <w:noWrap w:val="0"/>
                  <w:vAlign w:val="center"/>
                </w:tcPr>
                <w:p>
                  <w:pPr>
                    <w:rPr>
                      <w:rFonts w:hint="eastAsia" w:ascii="Times New Roman" w:hAnsi="Times New Roman" w:eastAsia="宋体" w:cs="Times New Roman"/>
                      <w:sz w:val="24"/>
                      <w:szCs w:val="24"/>
                      <w:lang w:val="en-US" w:eastAsia="zh-CN"/>
                    </w:rPr>
                  </w:pPr>
                </w:p>
              </w:tc>
            </w:tr>
          </w:tbl>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2018年、2019年、2020年三年用能分析：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3205"/>
              <w:gridCol w:w="1793"/>
              <w:gridCol w:w="1883"/>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序号</w:t>
                  </w:r>
                </w:p>
              </w:tc>
              <w:tc>
                <w:tcPr>
                  <w:tcW w:w="320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工序过程</w:t>
                  </w:r>
                </w:p>
              </w:tc>
              <w:tc>
                <w:tcPr>
                  <w:tcW w:w="179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2018年</w:t>
                  </w:r>
                </w:p>
              </w:tc>
              <w:tc>
                <w:tcPr>
                  <w:tcW w:w="188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19年</w:t>
                  </w:r>
                </w:p>
              </w:tc>
              <w:tc>
                <w:tcPr>
                  <w:tcW w:w="2186"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p>
              </w:tc>
              <w:tc>
                <w:tcPr>
                  <w:tcW w:w="3205" w:type="dxa"/>
                  <w:noWrap w:val="0"/>
                  <w:vAlign w:val="top"/>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塑料管材生产过程电耗</w:t>
                  </w:r>
                  <w:r>
                    <w:rPr>
                      <w:rFonts w:hint="default" w:ascii="Times New Roman" w:hAnsi="Times New Roman" w:eastAsia="宋体" w:cs="Times New Roman"/>
                      <w:sz w:val="24"/>
                      <w:szCs w:val="24"/>
                      <w:lang w:val="en-US" w:eastAsia="zh-CN"/>
                    </w:rPr>
                    <w:t>耗</w:t>
                  </w:r>
                </w:p>
              </w:tc>
              <w:tc>
                <w:tcPr>
                  <w:tcW w:w="179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1397990kwh</w:t>
                  </w:r>
                </w:p>
              </w:tc>
              <w:tc>
                <w:tcPr>
                  <w:tcW w:w="188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1746410kwh</w:t>
                  </w:r>
                </w:p>
              </w:tc>
              <w:tc>
                <w:tcPr>
                  <w:tcW w:w="2186" w:type="dxa"/>
                  <w:noWrap w:val="0"/>
                  <w:vAlign w:val="top"/>
                </w:tcPr>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17776268</w:t>
                  </w:r>
                  <w:r>
                    <w:rPr>
                      <w:rFonts w:hint="eastAsia" w:ascii="Times New Roman" w:hAnsi="Times New Roman" w:eastAsia="宋体" w:cs="Times New Roman"/>
                      <w:sz w:val="24"/>
                      <w:szCs w:val="24"/>
                      <w:lang w:val="en-US" w:eastAsia="zh-CN"/>
                    </w:rPr>
                    <w:t>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p>
              </w:tc>
              <w:tc>
                <w:tcPr>
                  <w:tcW w:w="320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塑料管材生产</w:t>
                  </w:r>
                  <w:r>
                    <w:rPr>
                      <w:rFonts w:hint="eastAsia" w:cs="Times New Roman"/>
                      <w:sz w:val="24"/>
                      <w:szCs w:val="24"/>
                      <w:lang w:val="en-US" w:eastAsia="zh-CN"/>
                    </w:rPr>
                    <w:t>综合</w:t>
                  </w:r>
                  <w:r>
                    <w:rPr>
                      <w:rFonts w:hint="default" w:ascii="Times New Roman" w:hAnsi="Times New Roman" w:eastAsia="宋体" w:cs="Times New Roman"/>
                      <w:sz w:val="24"/>
                      <w:szCs w:val="24"/>
                      <w:lang w:val="en-US" w:eastAsia="zh-CN"/>
                    </w:rPr>
                    <w:t>能耗</w:t>
                  </w:r>
                </w:p>
              </w:tc>
              <w:tc>
                <w:tcPr>
                  <w:tcW w:w="1793" w:type="dxa"/>
                  <w:noWrap w:val="0"/>
                  <w:vAlign w:val="top"/>
                </w:tcPr>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1718.13tce</w:t>
                  </w:r>
                </w:p>
              </w:tc>
              <w:tc>
                <w:tcPr>
                  <w:tcW w:w="1883" w:type="dxa"/>
                  <w:noWrap w:val="0"/>
                  <w:vAlign w:val="top"/>
                </w:tcPr>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2146.34</w:t>
                  </w:r>
                  <w:r>
                    <w:rPr>
                      <w:rFonts w:hint="eastAsia" w:ascii="Times New Roman" w:hAnsi="Times New Roman" w:eastAsia="宋体" w:cs="Times New Roman"/>
                      <w:sz w:val="24"/>
                      <w:szCs w:val="24"/>
                      <w:lang w:val="en-US" w:eastAsia="zh-CN"/>
                    </w:rPr>
                    <w:t>tce</w:t>
                  </w:r>
                </w:p>
              </w:tc>
              <w:tc>
                <w:tcPr>
                  <w:tcW w:w="2186"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2184.70tce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320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产量</w:t>
                  </w:r>
                </w:p>
              </w:tc>
              <w:tc>
                <w:tcPr>
                  <w:tcW w:w="1793" w:type="dxa"/>
                  <w:noWrap w:val="0"/>
                  <w:vAlign w:val="top"/>
                </w:tcPr>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25565t</w:t>
                  </w:r>
                </w:p>
              </w:tc>
              <w:tc>
                <w:tcPr>
                  <w:tcW w:w="1883" w:type="dxa"/>
                  <w:noWrap w:val="0"/>
                  <w:vAlign w:val="top"/>
                </w:tcPr>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35338t</w:t>
                  </w:r>
                </w:p>
              </w:tc>
              <w:tc>
                <w:tcPr>
                  <w:tcW w:w="2186"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41815.86t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p>
              </w:tc>
              <w:tc>
                <w:tcPr>
                  <w:tcW w:w="3205"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单位产品综合能耗</w:t>
                  </w:r>
                </w:p>
              </w:tc>
              <w:tc>
                <w:tcPr>
                  <w:tcW w:w="179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0.06</w:t>
                  </w:r>
                  <w:r>
                    <w:rPr>
                      <w:rFonts w:hint="eastAsia" w:cs="Times New Roman"/>
                      <w:sz w:val="24"/>
                      <w:szCs w:val="24"/>
                      <w:lang w:val="en-US" w:eastAsia="zh-CN"/>
                    </w:rPr>
                    <w:t>72t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c>
                <w:tcPr>
                  <w:tcW w:w="1883"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0.06</w:t>
                  </w:r>
                  <w:r>
                    <w:rPr>
                      <w:rFonts w:hint="eastAsia" w:cs="Times New Roman"/>
                      <w:sz w:val="24"/>
                      <w:szCs w:val="24"/>
                      <w:lang w:val="en-US" w:eastAsia="zh-CN"/>
                    </w:rPr>
                    <w:t>07t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c>
                <w:tcPr>
                  <w:tcW w:w="2186" w:type="dxa"/>
                  <w:noWrap w:val="0"/>
                  <w:vAlign w:val="top"/>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0.052</w:t>
                  </w:r>
                  <w:r>
                    <w:rPr>
                      <w:rFonts w:hint="eastAsia" w:cs="Times New Roman"/>
                      <w:sz w:val="24"/>
                      <w:szCs w:val="24"/>
                      <w:lang w:val="en-US" w:eastAsia="zh-CN"/>
                    </w:rPr>
                    <w:t>2t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r>
          </w:tbl>
          <w:p>
            <w:pPr>
              <w:rPr>
                <w:rFonts w:hint="default"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能源基准、能源目标：</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由于2018年、2019年度生产较为稳定，产品类别等较为均衡，所以，可考虑以2019年度能源绩效参数的实际数据为</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基础，确定能源基准值和能源目标值，即以各工序能源利用的平均水平为基准，以月次好水平为能源目标。（关注政府下达的节能量指标，目标必须满足此下达指标的要求。关注企业自身的能源目标责任制、定额标准考核、上述绩效参数对标存在差距等）</w:t>
            </w:r>
          </w:p>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2020年的能源目标为：0.06</w:t>
            </w:r>
            <w:r>
              <w:rPr>
                <w:rFonts w:hint="eastAsia" w:cs="Times New Roman"/>
                <w:sz w:val="24"/>
                <w:szCs w:val="24"/>
                <w:lang w:val="en-US" w:eastAsia="zh-CN"/>
              </w:rPr>
              <w:t>07t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c>
          <w:tcPr>
            <w:tcW w:w="835" w:type="dxa"/>
          </w:tcPr>
          <w:p/>
          <w:p>
            <w:pPr>
              <w:pStyle w:val="2"/>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2160" w:type="dxa"/>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6.4 能源绩效参数、</w:t>
            </w:r>
          </w:p>
        </w:tc>
        <w:tc>
          <w:tcPr>
            <w:tcW w:w="960" w:type="dxa"/>
          </w:tcPr>
          <w:p/>
          <w:p>
            <w:pPr>
              <w:pStyle w:val="9"/>
            </w:pPr>
          </w:p>
          <w:p>
            <w:pPr>
              <w:pStyle w:val="9"/>
              <w:ind w:left="0" w:leftChars="0" w:firstLine="0" w:firstLineChars="0"/>
              <w:rPr>
                <w:rFonts w:hint="default" w:eastAsia="宋体"/>
                <w:lang w:val="en-US" w:eastAsia="zh-CN"/>
              </w:rPr>
            </w:pPr>
            <w:r>
              <w:rPr>
                <w:rFonts w:hint="eastAsia"/>
                <w:lang w:val="en-US" w:eastAsia="zh-CN"/>
              </w:rPr>
              <w:t>En6.4</w:t>
            </w:r>
          </w:p>
        </w:tc>
        <w:tc>
          <w:tcPr>
            <w:tcW w:w="10754" w:type="dxa"/>
          </w:tcPr>
          <w:p>
            <w:pPr>
              <w:pStyle w:val="9"/>
              <w:ind w:left="0" w:leftChars="0" w:firstLine="0" w:firstLineChars="0"/>
              <w:rPr>
                <w:rFonts w:hint="eastAsia" w:ascii="Times New Roman" w:hAnsi="Times New Roman" w:eastAsia="宋体" w:cs="Times New Roman"/>
                <w:sz w:val="24"/>
                <w:szCs w:val="24"/>
                <w:lang w:val="en-US" w:eastAsia="zh-CN"/>
              </w:rPr>
            </w:pPr>
            <w:bookmarkStart w:id="23" w:name="_GoBack"/>
            <w:bookmarkEnd w:id="23"/>
          </w:p>
          <w:p>
            <w:pPr>
              <w:pStyle w:val="9"/>
              <w:ind w:left="0" w:leftChars="0" w:firstLine="0" w:firstLineChars="0"/>
              <w:rPr>
                <w:rFonts w:hint="eastAsia" w:ascii="Times New Roman" w:hAnsi="Times New Roman" w:eastAsia="宋体" w:cs="Times New Roman"/>
                <w:sz w:val="24"/>
                <w:szCs w:val="24"/>
                <w:lang w:val="en-US" w:eastAsia="zh-CN"/>
              </w:rPr>
            </w:pPr>
          </w:p>
          <w:p>
            <w:pPr>
              <w:pStyle w:val="9"/>
              <w:ind w:left="0" w:leftChars="0" w:firstLine="0" w:firstLineChars="0"/>
              <w:rPr>
                <w:rFonts w:hint="default"/>
                <w:lang w:val="en-US" w:eastAsia="zh-CN"/>
              </w:rPr>
            </w:pPr>
            <w:r>
              <w:rPr>
                <w:rFonts w:hint="eastAsia" w:cs="Times New Roman"/>
                <w:sz w:val="24"/>
                <w:szCs w:val="24"/>
                <w:lang w:val="en-US" w:eastAsia="zh-CN"/>
              </w:rPr>
              <w:t>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c>
          <w:tcPr>
            <w:tcW w:w="835" w:type="dxa"/>
          </w:tcPr>
          <w:p/>
          <w:p>
            <w:pPr>
              <w:pStyle w:val="9"/>
              <w:ind w:left="0" w:leftChars="0" w:firstLine="0" w:firstLineChars="0"/>
            </w:pPr>
          </w:p>
          <w:p>
            <w:pPr>
              <w:pStyle w:val="9"/>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rPr>
                <w:rFonts w:hint="eastAsia" w:ascii="宋体" w:hAnsi="宋体"/>
                <w:szCs w:val="21"/>
              </w:rPr>
            </w:pPr>
            <w:r>
              <w:rPr>
                <w:rFonts w:hint="eastAsia" w:ascii="宋体" w:hAnsi="宋体"/>
                <w:szCs w:val="21"/>
              </w:rPr>
              <w:t>6.5 能源基准</w:t>
            </w:r>
            <w:r>
              <w:rPr>
                <w:rFonts w:hint="eastAsia" w:ascii="宋体" w:hAnsi="宋体"/>
                <w:szCs w:val="21"/>
                <w:lang w:eastAsia="zh-CN"/>
              </w:rPr>
              <w:t>、</w:t>
            </w:r>
          </w:p>
        </w:tc>
        <w:tc>
          <w:tcPr>
            <w:tcW w:w="960" w:type="dxa"/>
          </w:tcPr>
          <w:p>
            <w:pPr>
              <w:pStyle w:val="9"/>
              <w:ind w:left="0" w:leftChars="0" w:firstLine="0" w:firstLineChars="0"/>
              <w:rPr>
                <w:rFonts w:hint="default" w:eastAsia="宋体"/>
                <w:lang w:val="en-US" w:eastAsia="zh-CN"/>
              </w:rPr>
            </w:pPr>
            <w:r>
              <w:rPr>
                <w:rFonts w:hint="eastAsia"/>
                <w:lang w:val="en-US" w:eastAsia="zh-CN"/>
              </w:rPr>
              <w:t>En6.5</w:t>
            </w:r>
          </w:p>
        </w:tc>
        <w:tc>
          <w:tcPr>
            <w:tcW w:w="10754" w:type="dxa"/>
          </w:tcPr>
          <w:p>
            <w:pPr>
              <w:rPr>
                <w:rFonts w:hint="default"/>
                <w:lang w:val="en-US" w:eastAsia="zh-CN"/>
              </w:rPr>
            </w:pPr>
            <w:r>
              <w:rPr>
                <w:rFonts w:hint="eastAsia" w:ascii="Times New Roman" w:hAnsi="Times New Roman" w:eastAsia="宋体" w:cs="Times New Roman"/>
                <w:sz w:val="24"/>
                <w:szCs w:val="24"/>
                <w:lang w:val="en-US" w:eastAsia="zh-CN"/>
              </w:rPr>
              <w:t>公司的能源基准为：0.06</w:t>
            </w:r>
            <w:r>
              <w:rPr>
                <w:rFonts w:hint="eastAsia" w:cs="Times New Roman"/>
                <w:sz w:val="24"/>
                <w:szCs w:val="24"/>
                <w:lang w:val="en-US" w:eastAsia="zh-CN"/>
              </w:rPr>
              <w:t>07t</w:t>
            </w:r>
            <w:r>
              <w:rPr>
                <w:rFonts w:hint="eastAsia" w:ascii="Times New Roman" w:hAnsi="Times New Roman" w:eastAsia="宋体" w:cs="Times New Roman"/>
                <w:sz w:val="24"/>
                <w:szCs w:val="24"/>
                <w:lang w:val="en-US" w:eastAsia="zh-CN"/>
              </w:rPr>
              <w:t>ce/</w:t>
            </w:r>
            <w:r>
              <w:rPr>
                <w:rFonts w:hint="eastAsia" w:cs="Times New Roman"/>
                <w:sz w:val="24"/>
                <w:szCs w:val="24"/>
                <w:lang w:val="en-US" w:eastAsia="zh-CN"/>
              </w:rPr>
              <w:t>t</w:t>
            </w:r>
          </w:p>
        </w:tc>
        <w:tc>
          <w:tcPr>
            <w:tcW w:w="835" w:type="dxa"/>
          </w:tcPr>
          <w:p/>
          <w:p>
            <w:pPr>
              <w:pStyle w:val="9"/>
              <w:ind w:left="0" w:leftChars="0" w:firstLine="210" w:firstLineChars="100"/>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2160" w:type="dxa"/>
          </w:tcPr>
          <w:p>
            <w:pPr>
              <w:rPr>
                <w:rFonts w:hint="eastAsia" w:ascii="宋体" w:hAnsi="宋体"/>
                <w:szCs w:val="21"/>
              </w:rPr>
            </w:pPr>
            <w:r>
              <w:rPr>
                <w:rFonts w:hint="eastAsia" w:ascii="宋体" w:hAnsi="宋体"/>
                <w:szCs w:val="21"/>
              </w:rPr>
              <w:t>6.6 采集能源数据的策划、</w:t>
            </w:r>
          </w:p>
        </w:tc>
        <w:tc>
          <w:tcPr>
            <w:tcW w:w="960" w:type="dxa"/>
          </w:tcP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采集能源数据的策划：重点是《重点用能单位能源利用状况报告制度实施方案》中提出的12张报表，需要关注国家认监委提出的能源管理绩效统计报表。</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采集能源数据主要有：电耗量、产品产量、工业产值、工业增加值、单位产品综合能耗、单位产品电耗、万元产值综合能耗、万元增加值综合能耗等；</w:t>
            </w:r>
          </w:p>
        </w:tc>
        <w:tc>
          <w:tcPr>
            <w:tcW w:w="835" w:type="dxa"/>
          </w:tcPr>
          <w:p>
            <w:pPr>
              <w:pStyle w:val="9"/>
              <w:ind w:left="0" w:leftChars="0" w:firstLine="0" w:firstLineChars="0"/>
            </w:pPr>
          </w:p>
          <w:p>
            <w:pPr>
              <w:pStyle w:val="9"/>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2160" w:type="dxa"/>
          </w:tcPr>
          <w:p>
            <w:pPr>
              <w:rPr>
                <w:rFonts w:hint="eastAsia" w:ascii="宋体" w:hAnsi="宋体"/>
                <w:szCs w:val="21"/>
              </w:rPr>
            </w:pPr>
            <w:r>
              <w:rPr>
                <w:rFonts w:hint="eastAsia" w:ascii="宋体" w:hAnsi="宋体"/>
                <w:szCs w:val="21"/>
                <w:lang w:val="en-US" w:eastAsia="zh-CN"/>
              </w:rPr>
              <w:t>7.4沟通交流、</w:t>
            </w:r>
          </w:p>
        </w:tc>
        <w:tc>
          <w:tcPr>
            <w:tcW w:w="960" w:type="dxa"/>
          </w:tcP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本部门负责生产部能源信息的传递及交流；通过建立于公司各部门实施和保持适当的信息交流沟通、确保了公司内部以及与外部相关方的联系和回应、保证能源管理体系的有效运行；其中：</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内部信息交流：</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法律法规、标准及其他要求、目标、指标及管理方案的实施、能源基准及能源绩效参数、体系运行的监测结果、内审和管理评审的结果，由运行保障中心传达到各部门； </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另内部能源体系宣传教育包括：节能形势政策；节约能源带来的社会和经济效益；交流节能技术；节能知识竞赛；组建节能小组；征集合理化建议；评选节能先进；</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外部信息交流：</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从相关方收集、接收的能源供应信息及时传递给相关方；上级部门或相关方需要公司能源信息；</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方式：</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会议、公告栏、简报、意见箱、微信群等；</w:t>
            </w:r>
          </w:p>
        </w:tc>
        <w:tc>
          <w:tcPr>
            <w:tcW w:w="835" w:type="dxa"/>
          </w:tcPr>
          <w:p/>
          <w:p>
            <w:pPr>
              <w:pStyle w:val="2"/>
            </w:pPr>
          </w:p>
          <w:p>
            <w:pPr>
              <w:pStyle w:val="2"/>
            </w:pPr>
          </w:p>
          <w:p>
            <w:pPr>
              <w:pStyle w:val="2"/>
            </w:pPr>
          </w:p>
          <w:p>
            <w:pPr>
              <w:pStyle w:val="2"/>
            </w:pPr>
          </w:p>
          <w:p>
            <w:pPr>
              <w:pStyle w:val="2"/>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2160" w:type="dxa"/>
          </w:tcPr>
          <w:p>
            <w:pPr>
              <w:rPr>
                <w:rFonts w:hint="eastAsia" w:ascii="宋体" w:hAnsi="宋体"/>
                <w:szCs w:val="21"/>
                <w:lang w:val="en-US" w:eastAsia="zh-CN"/>
              </w:rPr>
            </w:pPr>
            <w:r>
              <w:rPr>
                <w:rFonts w:hint="eastAsia" w:ascii="宋体" w:hAnsi="宋体"/>
                <w:szCs w:val="21"/>
              </w:rPr>
              <w:t>8.1 运行的策划和控制、</w:t>
            </w:r>
          </w:p>
        </w:tc>
        <w:tc>
          <w:tcPr>
            <w:tcW w:w="960" w:type="dxa"/>
          </w:tcP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编制了《能源管理制度》、《贵州国塑科技管业有限责任公司  PVC-U管材作业指导书》  </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6691630" cy="3780790"/>
                  <wp:effectExtent l="0" t="0" r="1270"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6691630" cy="3780790"/>
                          </a:xfrm>
                          <a:prstGeom prst="rect">
                            <a:avLst/>
                          </a:prstGeom>
                          <a:noFill/>
                          <a:ln>
                            <a:noFill/>
                          </a:ln>
                        </pic:spPr>
                      </pic:pic>
                    </a:graphicData>
                  </a:graphic>
                </wp:inline>
              </w:drawing>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抽查到PVC挤出机工艺卡：</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997960" cy="5132070"/>
                  <wp:effectExtent l="0" t="0" r="2540" b="11430"/>
                  <wp:docPr id="24" name="图片 24" descr="48fcda8ac859cec97a82361a5515a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8fcda8ac859cec97a82361a5515a4c"/>
                          <pic:cNvPicPr>
                            <a:picLocks noChangeAspect="1"/>
                          </pic:cNvPicPr>
                        </pic:nvPicPr>
                        <pic:blipFill>
                          <a:blip r:embed="rId13"/>
                          <a:stretch>
                            <a:fillRect/>
                          </a:stretch>
                        </pic:blipFill>
                        <pic:spPr>
                          <a:xfrm>
                            <a:off x="0" y="0"/>
                            <a:ext cx="3997960" cy="5132070"/>
                          </a:xfrm>
                          <a:prstGeom prst="rect">
                            <a:avLst/>
                          </a:prstGeom>
                        </pic:spPr>
                      </pic:pic>
                    </a:graphicData>
                  </a:graphic>
                </wp:inline>
              </w:drawing>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drawing>
                <wp:inline distT="0" distB="0" distL="114300" distR="114300">
                  <wp:extent cx="6683375" cy="5123180"/>
                  <wp:effectExtent l="0" t="0" r="9525" b="7620"/>
                  <wp:docPr id="25" name="图片 25" descr="d9b9aaad16156f76c5d6be84aa847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9b9aaad16156f76c5d6be84aa847ac"/>
                          <pic:cNvPicPr>
                            <a:picLocks noChangeAspect="1"/>
                          </pic:cNvPicPr>
                        </pic:nvPicPr>
                        <pic:blipFill>
                          <a:blip r:embed="rId14"/>
                          <a:stretch>
                            <a:fillRect/>
                          </a:stretch>
                        </pic:blipFill>
                        <pic:spPr>
                          <a:xfrm>
                            <a:off x="0" y="0"/>
                            <a:ext cx="6683375" cy="5123180"/>
                          </a:xfrm>
                          <a:prstGeom prst="rect">
                            <a:avLst/>
                          </a:prstGeom>
                        </pic:spPr>
                      </pic:pic>
                    </a:graphicData>
                  </a:graphic>
                </wp:inline>
              </w:drawing>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有生产设备维护保养规程和设备维护保养记录，生产设备都按照要求进行维护保养；</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主要能源消耗：电力；生产线完全自动化控制（现场无人工操作）实现原材料上料 →混合  → 挤出生产过程  →  运输等全过程；</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现场查计算机显示各设备的运行状况、车辆出入的记录跟踪、人员操作严格规定等、未发现人员设备操作运行违反节能降耗规定的情况；</w:t>
            </w: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提供了通用设备清单，对照工信部《高耗能落后机电设备（产品）淘汰目录（第1-4批）》未发现设备清单中有属于淘汰目录中的通用设备。我厂使用的高效节能通用设备有节能型空压机、变频调速器、电机等。</w:t>
            </w:r>
          </w:p>
          <w:p>
            <w:pPr>
              <w:rPr>
                <w:rFonts w:hint="eastAsia" w:ascii="Times New Roman" w:hAnsi="Times New Roman" w:eastAsia="宋体" w:cs="Times New Roman"/>
                <w:sz w:val="24"/>
                <w:szCs w:val="24"/>
                <w:lang w:val="en-US" w:eastAsia="zh-CN"/>
              </w:rPr>
            </w:pPr>
          </w:p>
          <w:p>
            <w:pPr>
              <w:rPr>
                <w:rFonts w:hint="default" w:ascii="Times New Roman" w:hAnsi="Times New Roman" w:cs="Times New Roman" w:eastAsiaTheme="minorEastAsia"/>
                <w:color w:val="FF0000"/>
                <w:sz w:val="24"/>
                <w:szCs w:val="24"/>
                <w:lang w:val="en-US" w:eastAsia="zh-CN"/>
              </w:rPr>
            </w:pPr>
            <w:r>
              <w:rPr>
                <w:rFonts w:hint="eastAsia" w:ascii="Times New Roman" w:hAnsi="Times New Roman" w:eastAsia="宋体" w:cs="Times New Roman"/>
                <w:color w:val="FF0000"/>
                <w:sz w:val="24"/>
                <w:szCs w:val="24"/>
                <w:lang w:val="en-US" w:eastAsia="zh-CN"/>
              </w:rPr>
              <w:t>抽查能源计量设备校检情况：</w:t>
            </w:r>
            <w:r>
              <w:rPr>
                <w:rFonts w:hint="eastAsia" w:cs="Times New Roman" w:asciiTheme="minorEastAsia" w:hAnsiTheme="minorEastAsia" w:eastAsiaTheme="minorEastAsia"/>
                <w:sz w:val="20"/>
                <w:lang w:val="en-US" w:eastAsia="zh-CN"/>
              </w:rPr>
              <w:t>入户电表有</w:t>
            </w:r>
            <w:r>
              <w:rPr>
                <w:rFonts w:cs="Times New Roman" w:asciiTheme="minorEastAsia" w:hAnsiTheme="minorEastAsia" w:eastAsiaTheme="minorEastAsia"/>
                <w:sz w:val="20"/>
              </w:rPr>
              <w:t>平坝区黎阳高新</w:t>
            </w:r>
            <w:r>
              <w:rPr>
                <w:rFonts w:asciiTheme="minorEastAsia" w:hAnsiTheme="minorEastAsia" w:eastAsiaTheme="minorEastAsia"/>
                <w:sz w:val="20"/>
              </w:rPr>
              <w:t>技术产业园区夏云工业园</w:t>
            </w:r>
            <w:r>
              <w:rPr>
                <w:rFonts w:hint="eastAsia" w:asciiTheme="minorEastAsia" w:hAnsiTheme="minorEastAsia" w:eastAsiaTheme="minorEastAsia"/>
                <w:sz w:val="20"/>
                <w:lang w:val="en-US" w:eastAsia="zh-CN"/>
              </w:rPr>
              <w:t>负责管理。</w:t>
            </w:r>
          </w:p>
          <w:p>
            <w:pPr>
              <w:rPr>
                <w:rFonts w:hint="default" w:ascii="Times New Roman" w:hAnsi="Times New Roman" w:eastAsia="宋体" w:cs="Times New Roman"/>
                <w:sz w:val="24"/>
                <w:szCs w:val="24"/>
                <w:lang w:val="en-US" w:eastAsia="zh-CN"/>
              </w:rPr>
            </w:pPr>
          </w:p>
        </w:tc>
        <w:tc>
          <w:tcPr>
            <w:tcW w:w="83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tcPr>
          <w:p>
            <w:pPr>
              <w:rPr>
                <w:rFonts w:hint="eastAsia" w:ascii="宋体" w:hAnsi="宋体"/>
                <w:szCs w:val="21"/>
              </w:rPr>
            </w:pPr>
            <w:r>
              <w:rPr>
                <w:rFonts w:hint="eastAsia" w:ascii="宋体" w:hAnsi="宋体"/>
                <w:szCs w:val="21"/>
              </w:rPr>
              <w:t>10.2 持续改进</w:t>
            </w:r>
          </w:p>
        </w:tc>
        <w:tc>
          <w:tcPr>
            <w:tcW w:w="960" w:type="dxa"/>
          </w:tcPr>
          <w:p/>
        </w:tc>
        <w:tc>
          <w:tcPr>
            <w:tcW w:w="1075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通过对每月对能源目标的考核、每年的内部审核和外部审核及管理评审确定公司的能源管理体系存在的问题，特别是能源消耗方面比较突出的问题，及时制定纠正措施或能源挂历方案，持续改进公司的能源消耗情况，适宜性、充分性和有效性——基本满足标准的要求，组织的持续改进绩效明显；</w:t>
            </w:r>
          </w:p>
        </w:tc>
        <w:tc>
          <w:tcPr>
            <w:tcW w:w="835" w:type="dxa"/>
          </w:tcPr>
          <w:p/>
        </w:tc>
      </w:tr>
    </w:tbl>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24"/>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过程与活动、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抽样计划</w:t>
            </w:r>
          </w:p>
        </w:tc>
        <w:tc>
          <w:tcPr>
            <w:tcW w:w="960"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涉及</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条款</w:t>
            </w:r>
          </w:p>
        </w:tc>
        <w:tc>
          <w:tcPr>
            <w:tcW w:w="10824"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受审核部门：</w:t>
            </w:r>
            <w:r>
              <w:rPr>
                <w:rFonts w:hint="eastAsia" w:cs="Times New Roman"/>
                <w:sz w:val="24"/>
                <w:szCs w:val="24"/>
                <w:lang w:val="en-US" w:eastAsia="zh-CN"/>
              </w:rPr>
              <w:t>研发部</w:t>
            </w:r>
            <w:r>
              <w:rPr>
                <w:rFonts w:hint="eastAsia" w:ascii="Times New Roman" w:hAnsi="Times New Roman" w:eastAsia="宋体" w:cs="Times New Roman"/>
                <w:sz w:val="24"/>
                <w:szCs w:val="24"/>
                <w:lang w:val="en-US" w:eastAsia="zh-CN"/>
              </w:rPr>
              <w:t xml:space="preserve">   主管领导：李龙彪         陪同人员：</w:t>
            </w:r>
            <w:r>
              <w:rPr>
                <w:rFonts w:hint="eastAsia" w:cs="Times New Roman"/>
                <w:sz w:val="24"/>
                <w:szCs w:val="24"/>
                <w:lang w:val="en-US" w:eastAsia="zh-CN"/>
              </w:rPr>
              <w:t>徐辉荣</w:t>
            </w:r>
          </w:p>
        </w:tc>
        <w:tc>
          <w:tcPr>
            <w:tcW w:w="765" w:type="dxa"/>
            <w:vMerge w:val="restart"/>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Times New Roman"/>
                <w:sz w:val="24"/>
                <w:szCs w:val="24"/>
                <w:lang w:val="en-US" w:eastAsia="zh-CN"/>
              </w:rPr>
            </w:pPr>
          </w:p>
        </w:tc>
        <w:tc>
          <w:tcPr>
            <w:tcW w:w="960" w:type="dxa"/>
            <w:vMerge w:val="continue"/>
            <w:vAlign w:val="center"/>
          </w:tcPr>
          <w:p>
            <w:pPr>
              <w:rPr>
                <w:rFonts w:hint="eastAsia" w:ascii="Times New Roman" w:hAnsi="Times New Roman" w:eastAsia="宋体" w:cs="Times New Roman"/>
                <w:sz w:val="24"/>
                <w:szCs w:val="24"/>
                <w:lang w:val="en-US" w:eastAsia="zh-CN"/>
              </w:rPr>
            </w:pPr>
          </w:p>
        </w:tc>
        <w:tc>
          <w:tcPr>
            <w:tcW w:w="10824"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审核员：周涛、      审核时间：2021.4.29</w:t>
            </w:r>
          </w:p>
        </w:tc>
        <w:tc>
          <w:tcPr>
            <w:tcW w:w="765" w:type="dxa"/>
            <w:vMerge w:val="continue"/>
          </w:tcPr>
          <w:p>
            <w:pP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Times New Roman"/>
                <w:sz w:val="24"/>
                <w:szCs w:val="24"/>
                <w:lang w:val="en-US" w:eastAsia="zh-CN"/>
              </w:rPr>
            </w:pPr>
          </w:p>
        </w:tc>
        <w:tc>
          <w:tcPr>
            <w:tcW w:w="960" w:type="dxa"/>
            <w:vMerge w:val="continue"/>
            <w:vAlign w:val="center"/>
          </w:tcPr>
          <w:p>
            <w:pPr>
              <w:rPr>
                <w:rFonts w:hint="eastAsia" w:ascii="Times New Roman" w:hAnsi="Times New Roman" w:eastAsia="宋体" w:cs="Times New Roman"/>
                <w:sz w:val="24"/>
                <w:szCs w:val="24"/>
                <w:lang w:val="en-US" w:eastAsia="zh-CN"/>
              </w:rPr>
            </w:pPr>
          </w:p>
        </w:tc>
        <w:tc>
          <w:tcPr>
            <w:tcW w:w="10824" w:type="dxa"/>
            <w:vAlign w:val="center"/>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审核条款：5.3 组织的岗位、职责和权限、6.2 目标、能源指及其实现的策划、8.1 运行的策划和控制</w:t>
            </w:r>
            <w:r>
              <w:rPr>
                <w:rFonts w:hint="eastAsia" w:ascii="宋体" w:hAnsi="宋体"/>
                <w:szCs w:val="21"/>
                <w:lang w:eastAsia="zh-CN"/>
              </w:rPr>
              <w:t>、</w:t>
            </w:r>
            <w:r>
              <w:rPr>
                <w:rFonts w:hint="eastAsia" w:ascii="Times New Roman" w:hAnsi="Times New Roman" w:eastAsia="宋体" w:cs="Times New Roman"/>
                <w:sz w:val="24"/>
                <w:szCs w:val="24"/>
                <w:lang w:val="en-US" w:eastAsia="zh-CN"/>
              </w:rPr>
              <w:t>8.2设计、10.1 不符合与纠正措施</w:t>
            </w:r>
          </w:p>
        </w:tc>
        <w:tc>
          <w:tcPr>
            <w:tcW w:w="765" w:type="dxa"/>
            <w:vMerge w:val="continue"/>
          </w:tcPr>
          <w:p>
            <w:pP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组织的岗位、职责和权限、</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5.3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负责人：李龙彪</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研发部职责：</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1、负责节能新技术和方法、新能源和可再生能源技术的推广和应用；</w:t>
            </w:r>
          </w:p>
          <w:p>
            <w:pPr>
              <w:rPr>
                <w:rFonts w:hint="eastAsia" w:ascii="Times New Roman" w:hAnsi="Times New Roman" w:eastAsia="宋体" w:cs="Times New Roman"/>
                <w:sz w:val="24"/>
                <w:szCs w:val="24"/>
                <w:lang w:val="en-US" w:eastAsia="zh-CN"/>
              </w:rPr>
            </w:pPr>
          </w:p>
        </w:tc>
        <w:tc>
          <w:tcPr>
            <w:tcW w:w="765"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目标、能源指及其实现的策划、</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6.2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技术部没有制定本部门的能源目标，执行公司的《管理目标》</w:t>
            </w:r>
          </w:p>
          <w:p>
            <w:pPr>
              <w:rPr>
                <w:rFonts w:hint="eastAsia" w:ascii="Times New Roman" w:hAnsi="Times New Roman" w:eastAsia="宋体" w:cs="Times New Roman"/>
                <w:sz w:val="24"/>
                <w:szCs w:val="24"/>
                <w:lang w:val="en-US" w:eastAsia="zh-CN"/>
              </w:rPr>
            </w:pPr>
          </w:p>
        </w:tc>
        <w:tc>
          <w:tcPr>
            <w:tcW w:w="765" w:type="dxa"/>
          </w:tcPr>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运行的策划和控制</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8.1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制定并执行《运行控制程序》，以满足需求实现能源采购中确定的行动。由:</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a)制定有关过程的标准，包括设施、设备、系统和能源使用过程的有效操作和维护，如果没有这些过程，可能会导致对预期能源性能的重大偏离;</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b)向在组织控制下工作的相关人员传达能源节约的益处；</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c)按照标准实施对过程的控制，包括按照既定标准操作和维护设施、设备、系统和能源使用过程;</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控制计划中的变更，并审查意外变更的后果，并在必要时采取行动减轻任何不利影响。</w:t>
            </w:r>
          </w:p>
          <w:p>
            <w:pPr>
              <w:rPr>
                <w:rFonts w:hint="eastAsia" w:ascii="Times New Roman" w:hAnsi="Times New Roman" w:eastAsia="宋体" w:cs="Times New Roman"/>
                <w:sz w:val="24"/>
                <w:szCs w:val="24"/>
                <w:lang w:val="en-US" w:eastAsia="zh-CN"/>
              </w:rPr>
            </w:pPr>
          </w:p>
        </w:tc>
        <w:tc>
          <w:tcPr>
            <w:tcW w:w="765" w:type="dxa"/>
          </w:tcPr>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设计、</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8.2</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制定并执行《设计控制程序》，考虑能源性能改进机会和在设计新的、改进的和翻新的设施、设备、系统和能源使用过程时的操作控制，这些过程在计划或预期的使用寿命内可能对其能源性能产生重大影响。</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在适用的情况下，能源性能考虑的结果应纳入规范、设计和采购活动。</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设计研发项目过程分为：小试——中试——批量生产</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项目可行性报告，包括：项目主要内容、目的意义、国内外发展趋势、项目可行性论证、拟解决的关键技术问题及前期工作基础、风险评估（技术风险、知识产权风险、市场风险、其他风险）与规避措施、项目实施计划、方案、人员组成、工作进度、预期成果等。</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提供：项目阶段评审表，评审项目中包括了符合HSE要求，符合相关法律法规，建议增加节能的要求，已与企业进行沟通。</w:t>
            </w:r>
          </w:p>
          <w:p>
            <w:pP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抽查：有项目扩大规模报告，待批准后扩大生产规模，减少能源消耗。</w:t>
            </w:r>
          </w:p>
          <w:p>
            <w:pP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经检查2020年至今没有关于节能方面的设计方案。</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基本符合要求。</w:t>
            </w:r>
          </w:p>
        </w:tc>
        <w:tc>
          <w:tcPr>
            <w:tcW w:w="765" w:type="dxa"/>
          </w:tcPr>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不符合与纠正措施</w:t>
            </w:r>
          </w:p>
        </w:tc>
        <w:tc>
          <w:tcPr>
            <w:tcW w:w="960"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10.1 </w:t>
            </w:r>
          </w:p>
        </w:tc>
        <w:tc>
          <w:tcPr>
            <w:tcW w:w="10824" w:type="dxa"/>
          </w:tcPr>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制定并实施《不符合及纠正措施控制程序》，当发现不符合项时，应:</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a)对不符合项作出反应，并在适用时:</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1)采取行动控制和纠正;2)处理后果;</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b)评估采取行动消除不合格原因的必要性，以使不合格事件不再发生或在其他地方发生，方法如下:</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1)评审不合格;2)不合格原因的确定;3〕确定类似不符合存在,或可能发生;</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c)执行所需的任何行动;</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d)审查任何纠正措施的有效性;</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e)必要时对EnMS进行更改。</w:t>
            </w: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纠正措施应与所遇到的不合格的影响相适应。应保留以下文件资料:</w:t>
            </w:r>
          </w:p>
        </w:tc>
        <w:tc>
          <w:tcPr>
            <w:tcW w:w="765" w:type="dxa"/>
          </w:tcPr>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p>
          <w:p>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y</w:t>
            </w:r>
          </w:p>
        </w:tc>
      </w:tr>
    </w:tbl>
    <w:p>
      <w:pPr>
        <w:pStyle w:val="7"/>
      </w:pPr>
    </w:p>
    <w:p>
      <w:pPr>
        <w:pStyle w:val="7"/>
      </w:pPr>
    </w:p>
    <w:p>
      <w:pPr>
        <w:pStyle w:val="7"/>
      </w:pPr>
    </w:p>
    <w:p>
      <w:pPr>
        <w:pStyle w:val="7"/>
      </w:pPr>
    </w:p>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GquXWAAAACgEAAA8AAAAAAAAAAQAgAAAAIgAAAGRycy9kb3ducmV2Lnht&#10;bFBLAQIUABQAAAAIAIdO4kBMBgIRwgEAAHcDAAAOAAAAAAAAAAEAIAAAACUBAABkcnMvZTJvRG9j&#10;LnhtbFBLBQYAAAAABgAGAFkBAABZ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6"/>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7356D3"/>
    <w:multiLevelType w:val="singleLevel"/>
    <w:tmpl w:val="AE7356D3"/>
    <w:lvl w:ilvl="0" w:tentative="0">
      <w:start w:val="1"/>
      <w:numFmt w:val="decimal"/>
      <w:suff w:val="nothing"/>
      <w:lvlText w:val="（%1）"/>
      <w:lvlJc w:val="left"/>
      <w:rPr>
        <w:rFonts w:cs="Times New Roman"/>
      </w:rPr>
    </w:lvl>
  </w:abstractNum>
  <w:abstractNum w:abstractNumId="1">
    <w:nsid w:val="00000041"/>
    <w:multiLevelType w:val="multilevel"/>
    <w:tmpl w:val="00000041"/>
    <w:lvl w:ilvl="0" w:tentative="0">
      <w:start w:val="1"/>
      <w:numFmt w:val="chineseCountingThousand"/>
      <w:isLgl/>
      <w:lvlText w:val="%1  "/>
      <w:lvlJc w:val="left"/>
      <w:pPr>
        <w:tabs>
          <w:tab w:val="left" w:pos="720"/>
        </w:tabs>
        <w:ind w:left="0" w:firstLine="0"/>
      </w:pPr>
      <w:rPr>
        <w:rFonts w:hint="eastAsia"/>
      </w:rPr>
    </w:lvl>
    <w:lvl w:ilvl="1" w:tentative="0">
      <w:start w:val="1"/>
      <w:numFmt w:val="decimal"/>
      <w:pStyle w:val="4"/>
      <w:isLgl/>
      <w:lvlText w:val="%1.%2"/>
      <w:lvlJc w:val="left"/>
      <w:pPr>
        <w:tabs>
          <w:tab w:val="left" w:pos="720"/>
        </w:tabs>
        <w:ind w:left="0" w:firstLine="0"/>
      </w:pPr>
      <w:rPr>
        <w:rFonts w:hint="eastAsia"/>
      </w:rPr>
    </w:lvl>
    <w:lvl w:ilvl="2" w:tentative="0">
      <w:start w:val="1"/>
      <w:numFmt w:val="decimal"/>
      <w:isLgl/>
      <w:lvlText w:val="%1.%2.%3"/>
      <w:lvlJc w:val="left"/>
      <w:pPr>
        <w:tabs>
          <w:tab w:val="left" w:pos="1080"/>
        </w:tabs>
        <w:ind w:left="0" w:firstLine="0"/>
      </w:pPr>
      <w:rPr>
        <w:rFonts w:hint="eastAsia"/>
      </w:rPr>
    </w:lvl>
    <w:lvl w:ilvl="3" w:tentative="0">
      <w:start w:val="1"/>
      <w:numFmt w:val="decimal"/>
      <w:isLgl/>
      <w:lvlText w:val="%1.%2.%3.%4"/>
      <w:lvlJc w:val="left"/>
      <w:pPr>
        <w:tabs>
          <w:tab w:val="left" w:pos="1440"/>
        </w:tabs>
        <w:ind w:left="0" w:firstLine="0"/>
      </w:pPr>
      <w:rPr>
        <w:rFonts w:hint="eastAsia"/>
      </w:rPr>
    </w:lvl>
    <w:lvl w:ilvl="4" w:tentative="0">
      <w:start w:val="1"/>
      <w:numFmt w:val="decimal"/>
      <w:isLgl/>
      <w:lvlText w:val="%1.%2.%3.%4.%5"/>
      <w:lvlJc w:val="left"/>
      <w:pPr>
        <w:tabs>
          <w:tab w:val="left" w:pos="180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2345E"/>
    <w:rsid w:val="055506B3"/>
    <w:rsid w:val="08792CFD"/>
    <w:rsid w:val="09234692"/>
    <w:rsid w:val="0BE9253E"/>
    <w:rsid w:val="0C38743F"/>
    <w:rsid w:val="0D4A78E2"/>
    <w:rsid w:val="11121520"/>
    <w:rsid w:val="11C67A86"/>
    <w:rsid w:val="126B407E"/>
    <w:rsid w:val="13DA5513"/>
    <w:rsid w:val="15580819"/>
    <w:rsid w:val="18165F36"/>
    <w:rsid w:val="1DD05F06"/>
    <w:rsid w:val="206227B1"/>
    <w:rsid w:val="21F86DA8"/>
    <w:rsid w:val="233521EC"/>
    <w:rsid w:val="23D564AD"/>
    <w:rsid w:val="25E27B35"/>
    <w:rsid w:val="26952104"/>
    <w:rsid w:val="292317B6"/>
    <w:rsid w:val="2A100386"/>
    <w:rsid w:val="2B7238FC"/>
    <w:rsid w:val="2C770167"/>
    <w:rsid w:val="340864CC"/>
    <w:rsid w:val="35E34133"/>
    <w:rsid w:val="36184DDC"/>
    <w:rsid w:val="37E964B2"/>
    <w:rsid w:val="38153CF4"/>
    <w:rsid w:val="38BC3734"/>
    <w:rsid w:val="39F57921"/>
    <w:rsid w:val="3C75621C"/>
    <w:rsid w:val="3E604667"/>
    <w:rsid w:val="404041D2"/>
    <w:rsid w:val="40D470D2"/>
    <w:rsid w:val="44606EA9"/>
    <w:rsid w:val="45B00BAB"/>
    <w:rsid w:val="4B924EC3"/>
    <w:rsid w:val="4C814D6B"/>
    <w:rsid w:val="4C9772FC"/>
    <w:rsid w:val="4CF35EF7"/>
    <w:rsid w:val="529834A9"/>
    <w:rsid w:val="53CD1A23"/>
    <w:rsid w:val="591970CF"/>
    <w:rsid w:val="59917DFB"/>
    <w:rsid w:val="5A405B0D"/>
    <w:rsid w:val="5C7E3B50"/>
    <w:rsid w:val="627C4972"/>
    <w:rsid w:val="653D4648"/>
    <w:rsid w:val="6CDF678D"/>
    <w:rsid w:val="6D3E5251"/>
    <w:rsid w:val="6EB14575"/>
    <w:rsid w:val="710444F1"/>
    <w:rsid w:val="712A7510"/>
    <w:rsid w:val="75EF77E7"/>
    <w:rsid w:val="7CD817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line="360" w:lineRule="auto"/>
      <w:outlineLvl w:val="0"/>
    </w:pPr>
    <w:rPr>
      <w:b/>
      <w:bCs/>
      <w:kern w:val="44"/>
      <w:sz w:val="24"/>
      <w:szCs w:val="44"/>
    </w:rPr>
  </w:style>
  <w:style w:type="paragraph" w:styleId="4">
    <w:name w:val="heading 2"/>
    <w:basedOn w:val="1"/>
    <w:next w:val="1"/>
    <w:qFormat/>
    <w:uiPriority w:val="0"/>
    <w:pPr>
      <w:numPr>
        <w:ilvl w:val="1"/>
        <w:numId w:val="1"/>
      </w:numPr>
      <w:adjustRightInd w:val="0"/>
      <w:spacing w:line="360" w:lineRule="auto"/>
      <w:jc w:val="left"/>
      <w:textAlignment w:val="baseline"/>
      <w:outlineLvl w:val="1"/>
    </w:pPr>
    <w:rPr>
      <w:rFonts w:ascii="Arial" w:hAnsi="Arial"/>
      <w:kern w:val="28"/>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5">
    <w:name w:val="Plain Text"/>
    <w:basedOn w:val="1"/>
    <w:qFormat/>
    <w:uiPriority w:val="0"/>
    <w:rPr>
      <w:rFonts w:ascii="宋体" w:hAnsi="Courier New"/>
      <w:sz w:val="28"/>
      <w:szCs w:val="20"/>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w:basedOn w:val="2"/>
    <w:unhideWhenUsed/>
    <w:qFormat/>
    <w:uiPriority w:val="99"/>
    <w:pPr>
      <w:ind w:firstLine="420" w:firstLineChars="100"/>
    </w:p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Char"/>
    <w:basedOn w:val="12"/>
    <w:link w:val="8"/>
    <w:qFormat/>
    <w:uiPriority w:val="99"/>
    <w:rPr>
      <w:rFonts w:ascii="Times New Roman" w:hAnsi="Times New Roman" w:eastAsia="宋体" w:cs="Times New Roman"/>
      <w:sz w:val="18"/>
      <w:szCs w:val="18"/>
    </w:rPr>
  </w:style>
  <w:style w:type="character" w:customStyle="1" w:styleId="14">
    <w:name w:val="页脚 Char"/>
    <w:basedOn w:val="12"/>
    <w:link w:val="7"/>
    <w:qFormat/>
    <w:uiPriority w:val="99"/>
    <w:rPr>
      <w:rFonts w:ascii="Times New Roman" w:hAnsi="Times New Roman" w:eastAsia="宋体" w:cs="Times New Roman"/>
      <w:sz w:val="18"/>
      <w:szCs w:val="18"/>
    </w:rPr>
  </w:style>
  <w:style w:type="character" w:customStyle="1" w:styleId="15">
    <w:name w:val="批注框文本 Char"/>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2021-05-16T08:06:13Z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FCB82A43C2224C2C927F38EF7896E93B</vt:lpwstr>
  </property>
</Properties>
</file>