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0394-2021-QEO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重庆国本科技有限公司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Q:29.12.00,33.02.02</w:t>
            </w:r>
          </w:p>
          <w:p>
            <w:pPr>
              <w:spacing w:line="240" w:lineRule="exact"/>
              <w:jc w:val="center"/>
              <w:rPr>
                <w:b/>
                <w:color w:val="000000"/>
                <w:sz w:val="20"/>
                <w:szCs w:val="20"/>
              </w:rPr>
            </w:pPr>
            <w:r>
              <w:rPr>
                <w:b/>
                <w:color w:val="000000"/>
                <w:sz w:val="20"/>
                <w:szCs w:val="20"/>
              </w:rPr>
              <w:t>E:29.12.00,33.02.02</w:t>
            </w:r>
          </w:p>
          <w:p>
            <w:pPr>
              <w:spacing w:line="240" w:lineRule="exact"/>
              <w:jc w:val="center"/>
              <w:rPr>
                <w:b/>
                <w:color w:val="000000"/>
                <w:sz w:val="20"/>
                <w:szCs w:val="20"/>
              </w:rPr>
            </w:pPr>
            <w:r>
              <w:rPr>
                <w:b/>
                <w:color w:val="000000"/>
                <w:sz w:val="20"/>
                <w:szCs w:val="20"/>
              </w:rP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r>
              <w:rPr>
                <w:b/>
                <w:color w:val="000000"/>
                <w:sz w:val="20"/>
                <w:szCs w:val="20"/>
              </w:rPr>
              <w:t>Q:29.12.00,33.02.02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39"/>
        <w:gridCol w:w="98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重庆国本科技有限公司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351"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重庆市万州区白岩路390号附6-102室</w:t>
            </w:r>
            <w:bookmarkEnd w:id="10"/>
          </w:p>
        </w:tc>
        <w:tc>
          <w:tcPr>
            <w:tcW w:w="988"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153" w:type="dxa"/>
          </w:tcPr>
          <w:p>
            <w:pPr>
              <w:spacing w:line="280" w:lineRule="exact"/>
              <w:rPr>
                <w:rFonts w:ascii="宋体"/>
                <w:b/>
                <w:color w:val="000000"/>
                <w:sz w:val="20"/>
                <w:szCs w:val="20"/>
              </w:rPr>
            </w:pPr>
            <w:bookmarkStart w:id="11" w:name="注册邮编"/>
            <w:r>
              <w:rPr>
                <w:rFonts w:ascii="宋体"/>
                <w:b/>
                <w:color w:val="000000"/>
                <w:sz w:val="20"/>
                <w:szCs w:val="20"/>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351" w:type="dxa"/>
            <w:gridSpan w:val="3"/>
          </w:tcPr>
          <w:p>
            <w:pPr>
              <w:spacing w:line="280" w:lineRule="exact"/>
              <w:rPr>
                <w:rFonts w:ascii="宋体"/>
                <w:b/>
                <w:color w:val="000000"/>
                <w:sz w:val="20"/>
                <w:szCs w:val="20"/>
              </w:rPr>
            </w:pPr>
            <w:bookmarkStart w:id="12" w:name="经营地址"/>
            <w:bookmarkEnd w:id="12"/>
          </w:p>
        </w:tc>
        <w:tc>
          <w:tcPr>
            <w:tcW w:w="988" w:type="dxa"/>
            <w:vMerge w:val="continue"/>
            <w:vAlign w:val="center"/>
          </w:tcPr>
          <w:p>
            <w:pPr>
              <w:spacing w:line="280" w:lineRule="exact"/>
              <w:jc w:val="center"/>
              <w:rPr>
                <w:rFonts w:ascii="宋体"/>
                <w:b/>
                <w:color w:val="000000"/>
                <w:sz w:val="20"/>
                <w:szCs w:val="20"/>
              </w:rPr>
            </w:pPr>
          </w:p>
        </w:tc>
        <w:tc>
          <w:tcPr>
            <w:tcW w:w="2153"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351"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重庆市万州区重报万州中心7-103</w:t>
            </w:r>
            <w:bookmarkEnd w:id="14"/>
          </w:p>
        </w:tc>
        <w:tc>
          <w:tcPr>
            <w:tcW w:w="988" w:type="dxa"/>
            <w:vMerge w:val="continue"/>
            <w:vAlign w:val="center"/>
          </w:tcPr>
          <w:p>
            <w:pPr>
              <w:spacing w:line="280" w:lineRule="exact"/>
              <w:jc w:val="center"/>
              <w:rPr>
                <w:rFonts w:ascii="宋体"/>
                <w:b/>
                <w:color w:val="000000"/>
                <w:sz w:val="20"/>
                <w:szCs w:val="20"/>
              </w:rPr>
            </w:pPr>
          </w:p>
        </w:tc>
        <w:tc>
          <w:tcPr>
            <w:tcW w:w="2153" w:type="dxa"/>
          </w:tcPr>
          <w:p>
            <w:pPr>
              <w:spacing w:line="280" w:lineRule="exact"/>
              <w:rPr>
                <w:rFonts w:ascii="宋体"/>
                <w:b/>
                <w:color w:val="000000"/>
                <w:sz w:val="20"/>
                <w:szCs w:val="20"/>
              </w:rPr>
            </w:pPr>
            <w:bookmarkStart w:id="15" w:name="生产邮编Add1"/>
            <w:r>
              <w:rPr>
                <w:rFonts w:ascii="宋体"/>
                <w:b/>
                <w:color w:val="000000"/>
                <w:sz w:val="20"/>
                <w:szCs w:val="20"/>
              </w:rPr>
              <w:t>404100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涂腾飞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839"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15330327166</w:t>
            </w:r>
            <w:bookmarkEnd w:id="17"/>
          </w:p>
        </w:tc>
        <w:tc>
          <w:tcPr>
            <w:tcW w:w="988"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153"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839" w:type="dxa"/>
          </w:tcPr>
          <w:p>
            <w:pPr>
              <w:rPr>
                <w:rFonts w:ascii="宋体"/>
                <w:b/>
                <w:color w:val="000000"/>
                <w:sz w:val="20"/>
                <w:szCs w:val="20"/>
              </w:rPr>
            </w:pPr>
            <w:bookmarkStart w:id="20" w:name="管理者代表"/>
            <w:r>
              <w:rPr>
                <w:rFonts w:ascii="宋体"/>
                <w:b/>
                <w:color w:val="000000"/>
                <w:sz w:val="20"/>
                <w:szCs w:val="20"/>
              </w:rPr>
              <w:t>陈权</w:t>
            </w:r>
            <w:bookmarkEnd w:id="20"/>
          </w:p>
        </w:tc>
        <w:tc>
          <w:tcPr>
            <w:tcW w:w="988" w:type="dxa"/>
          </w:tcPr>
          <w:p>
            <w:pPr>
              <w:jc w:val="center"/>
              <w:rPr>
                <w:rFonts w:ascii="宋体"/>
                <w:b/>
                <w:color w:val="000000"/>
                <w:sz w:val="20"/>
                <w:szCs w:val="20"/>
              </w:rPr>
            </w:pPr>
            <w:r>
              <w:rPr>
                <w:rFonts w:hint="eastAsia" w:ascii="宋体"/>
                <w:b/>
                <w:color w:val="000000"/>
                <w:sz w:val="20"/>
                <w:szCs w:val="20"/>
              </w:rPr>
              <w:t>邮箱</w:t>
            </w:r>
          </w:p>
        </w:tc>
        <w:tc>
          <w:tcPr>
            <w:tcW w:w="2153"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Q：计算机系统集成，电子科技设备、安防产品、软硬件的销售</w:t>
            </w:r>
          </w:p>
          <w:p>
            <w:pPr>
              <w:spacing w:line="400" w:lineRule="exact"/>
              <w:rPr>
                <w:rFonts w:ascii="宋体" w:hAnsi="宋体"/>
                <w:b/>
                <w:color w:val="000000"/>
                <w:sz w:val="20"/>
                <w:szCs w:val="20"/>
              </w:rPr>
            </w:pPr>
            <w:r>
              <w:rPr>
                <w:rFonts w:ascii="宋体" w:hAnsi="宋体"/>
                <w:b/>
                <w:color w:val="000000"/>
                <w:sz w:val="20"/>
                <w:szCs w:val="20"/>
              </w:rPr>
              <w:t>E：计算机系统集成，电子科技设备、安防产品、软硬件的销售所涉及场所的相关环境管理活动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O：计算机系统集成，电子科技设备、安防产品、软硬件的销售所涉及场所的相关职业健康安全管理活动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Q：29.12.00;33.02.02</w:t>
            </w:r>
          </w:p>
          <w:p>
            <w:pPr>
              <w:spacing w:line="280" w:lineRule="exact"/>
              <w:rPr>
                <w:rFonts w:ascii="宋体"/>
                <w:b/>
                <w:color w:val="000000"/>
                <w:sz w:val="20"/>
                <w:szCs w:val="20"/>
              </w:rPr>
            </w:pPr>
            <w:r>
              <w:rPr>
                <w:rFonts w:ascii="宋体"/>
                <w:b/>
                <w:color w:val="000000"/>
                <w:sz w:val="20"/>
                <w:szCs w:val="20"/>
              </w:rPr>
              <w:t>E：29.12.00;33.02.02</w:t>
            </w:r>
          </w:p>
          <w:p>
            <w:pPr>
              <w:spacing w:line="280" w:lineRule="exact"/>
              <w:rPr>
                <w:rFonts w:ascii="宋体"/>
                <w:b/>
                <w:color w:val="000000"/>
                <w:sz w:val="20"/>
                <w:szCs w:val="20"/>
              </w:rPr>
            </w:pPr>
            <w:r>
              <w:rPr>
                <w:rFonts w:ascii="宋体"/>
                <w:b/>
                <w:color w:val="000000"/>
                <w:sz w:val="20"/>
                <w:szCs w:val="20"/>
              </w:rPr>
              <w:t>O：29.12.00;33.02.02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详见临时场所清单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管理层、</w:t>
      </w:r>
      <w:r>
        <w:rPr>
          <w:rFonts w:hint="eastAsia" w:ascii="宋体" w:hAnsi="宋体" w:eastAsia="宋体" w:cs="Times New Roman"/>
          <w:szCs w:val="21"/>
          <w:highlight w:val="none"/>
        </w:rPr>
        <w:t>行政部、项目部、供销部、财务部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计算机系统集成，电子科技设备、安防产品、软硬件的销售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400" w:lineRule="exact"/>
              <w:jc w:val="left"/>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szCs w:val="21"/>
                <w:highlight w:val="none"/>
              </w:rPr>
              <w:t>行政部、项目部、供销部、财务部</w:t>
            </w:r>
            <w:r>
              <w:rPr>
                <w:rFonts w:hint="eastAsia" w:ascii="宋体" w:hAnsi="宋体"/>
                <w:szCs w:val="21"/>
              </w:rPr>
              <w:t>。</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Times New Roman"/>
                <w:szCs w:val="21"/>
                <w:highlight w:val="none"/>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Times New Roman"/>
                <w:szCs w:val="21"/>
                <w:highlight w:val="none"/>
              </w:rPr>
              <w:t>项目部、供销部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eastAsia="宋体" w:cs="Times New Roman"/>
                <w:szCs w:val="21"/>
                <w:highlight w:val="none"/>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eastAsia="宋体" w:cs="Times New Roman"/>
                <w:szCs w:val="21"/>
                <w:highlight w:val="none"/>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r>
              <w:rPr>
                <w:rFonts w:hint="eastAsia"/>
                <w:color w:val="000000"/>
                <w:highlight w:val="none"/>
              </w:rPr>
              <w:t>重庆市万州区落凼社区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color w:val="auto"/>
                <w:highlight w:val="none"/>
              </w:rPr>
              <w:t>重庆市万州区重报万州中心7</w:t>
            </w:r>
            <w:r>
              <w:rPr>
                <w:color w:val="auto"/>
                <w:highlight w:val="none"/>
              </w:rPr>
              <w:t>-103</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color w:val="000000" w:themeColor="text1"/>
                <w:sz w:val="20"/>
              </w:rPr>
              <w:t>中华人民共和国计算机信息系统安全保护条例</w:t>
            </w:r>
            <w:r>
              <w:rPr>
                <w:rFonts w:hint="eastAsia"/>
                <w:color w:val="000000" w:themeColor="text1"/>
                <w:lang w:eastAsia="zh-CN"/>
              </w:rPr>
              <w:t>、</w:t>
            </w:r>
            <w:r>
              <w:rPr>
                <w:rFonts w:hint="eastAsia"/>
                <w:color w:val="000000" w:themeColor="text1"/>
                <w:sz w:val="20"/>
              </w:rPr>
              <w:t>视频安防监控制系统技术要求（</w:t>
            </w:r>
            <w:r>
              <w:rPr>
                <w:color w:val="000000" w:themeColor="text1"/>
                <w:sz w:val="20"/>
              </w:rPr>
              <w:t>GA/T367-2001</w:t>
            </w:r>
            <w:r>
              <w:rPr>
                <w:rFonts w:hint="eastAsia"/>
                <w:color w:val="000000" w:themeColor="text1"/>
                <w:sz w:val="20"/>
              </w:rPr>
              <w:t>）</w:t>
            </w:r>
            <w:r>
              <w:rPr>
                <w:rFonts w:hint="eastAsia"/>
                <w:color w:val="000000" w:themeColor="text1"/>
                <w:sz w:val="20"/>
                <w:lang w:eastAsia="zh-CN"/>
              </w:rPr>
              <w:t>、</w:t>
            </w:r>
            <w:r>
              <w:rPr>
                <w:rFonts w:hint="eastAsia"/>
                <w:color w:val="000000" w:themeColor="text1"/>
                <w:sz w:val="20"/>
              </w:rPr>
              <w:t>民用闭路监视电视系统工程技术规范（</w:t>
            </w:r>
            <w:r>
              <w:rPr>
                <w:color w:val="000000" w:themeColor="text1"/>
                <w:sz w:val="20"/>
              </w:rPr>
              <w:t>GB50198</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color w:val="000000" w:themeColor="text1"/>
                <w:sz w:val="20"/>
                <w:lang w:eastAsia="zh-CN"/>
              </w:rPr>
              <w:t>、</w:t>
            </w:r>
            <w:r>
              <w:rPr>
                <w:rFonts w:hint="eastAsia"/>
                <w:color w:val="000000" w:themeColor="text1"/>
                <w:sz w:val="20"/>
              </w:rPr>
              <w:t>有线电视系统工程技术规范（</w:t>
            </w:r>
            <w:r>
              <w:rPr>
                <w:color w:val="000000" w:themeColor="text1"/>
                <w:sz w:val="20"/>
              </w:rPr>
              <w:t>GB50200</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color w:val="000000" w:themeColor="text1"/>
                <w:sz w:val="20"/>
                <w:lang w:eastAsia="zh-CN"/>
              </w:rPr>
              <w:t>、</w:t>
            </w:r>
            <w:r>
              <w:rPr>
                <w:rFonts w:hint="eastAsia" w:ascii="宋体" w:hAnsi="宋体"/>
                <w:color w:val="000000" w:themeColor="text1"/>
                <w:sz w:val="21"/>
                <w:szCs w:val="21"/>
              </w:rPr>
              <w:t>《安全防范工程技术规范》GB50348-2004</w:t>
            </w:r>
            <w:r>
              <w:rPr>
                <w:rFonts w:hint="eastAsia" w:ascii="宋体" w:hAnsi="宋体"/>
                <w:color w:val="000000" w:themeColor="text1"/>
                <w:sz w:val="21"/>
                <w:szCs w:val="21"/>
                <w:lang w:eastAsia="zh-CN"/>
              </w:rPr>
              <w:t>、</w:t>
            </w:r>
            <w:r>
              <w:rPr>
                <w:color w:val="000000" w:themeColor="text1"/>
                <w:sz w:val="20"/>
              </w:rPr>
              <w:t>电子计算机机房设计规范（GB 50174－93</w:t>
            </w:r>
            <w:r>
              <w:rPr>
                <w:rFonts w:hint="eastAsia"/>
                <w:color w:val="000000" w:themeColor="text1"/>
                <w:sz w:val="20"/>
                <w:lang w:eastAsia="zh-CN"/>
              </w:rPr>
              <w:t>）、</w:t>
            </w:r>
            <w:r>
              <w:rPr>
                <w:rFonts w:hint="eastAsia" w:ascii="宋体" w:hAnsi="宋体"/>
                <w:color w:val="000000" w:themeColor="text1"/>
                <w:sz w:val="21"/>
                <w:szCs w:val="21"/>
              </w:rPr>
              <w:t>《视频安防监控数字录像设备》GB20815-2006</w:t>
            </w:r>
            <w:r>
              <w:rPr>
                <w:rFonts w:hint="eastAsia" w:ascii="宋体" w:hAnsi="宋体"/>
                <w:color w:val="000000" w:themeColor="text1"/>
                <w:sz w:val="21"/>
                <w:szCs w:val="21"/>
                <w:lang w:eastAsia="zh-CN"/>
              </w:rPr>
              <w:t>、</w:t>
            </w:r>
            <w:r>
              <w:rPr>
                <w:rFonts w:hint="eastAsia" w:ascii="宋体" w:hAnsi="宋体"/>
                <w:color w:val="000000" w:themeColor="text1"/>
                <w:sz w:val="21"/>
                <w:szCs w:val="21"/>
              </w:rPr>
              <w:t>《金属线槽配线安装工艺标准》（313-1998）</w:t>
            </w:r>
            <w:r>
              <w:rPr>
                <w:rFonts w:hint="eastAsia" w:ascii="宋体" w:hAnsi="宋体" w:eastAsia="宋体" w:cs="Times New Roman"/>
                <w:color w:val="000000" w:themeColor="text1"/>
                <w:szCs w:val="21"/>
              </w:rPr>
              <w:t>合同协议等</w:t>
            </w:r>
            <w:r>
              <w:rPr>
                <w:rFonts w:hint="eastAsia" w:ascii="宋体" w:hAnsi="宋体" w:cs="Times New Roman"/>
                <w:color w:val="000000" w:themeColor="text1"/>
                <w:szCs w:val="21"/>
                <w:lang w:eastAsia="zh-CN"/>
              </w:rPr>
              <w:t>。</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Times New Roman" w:cs="Times New Roman"/>
                <w:color w:val="000000"/>
                <w:sz w:val="20"/>
                <w:szCs w:val="20"/>
              </w:rPr>
            </w:pPr>
            <w:r>
              <w:rPr>
                <w:rFonts w:hint="eastAsia" w:ascii="宋体" w:hAnsi="Times New Roman" w:cs="Times New Roman"/>
                <w:color w:val="000000"/>
                <w:sz w:val="20"/>
                <w:szCs w:val="20"/>
              </w:rPr>
              <w:t>是否有排污许可证□是□否</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Times New Roman" w:cs="Times New Roman"/>
                <w:color w:val="000000"/>
                <w:sz w:val="20"/>
                <w:szCs w:val="20"/>
              </w:rPr>
            </w:pPr>
            <w:r>
              <w:rPr>
                <w:rFonts w:hint="eastAsia" w:ascii="宋体" w:hAnsi="Times New Roman" w:cs="Times New Roman"/>
                <w:color w:val="000000"/>
                <w:sz w:val="20"/>
                <w:szCs w:val="20"/>
              </w:rPr>
              <w:t>是否提供近期环境监测报告□是□否</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Times New Roman" w:cs="Times New Roman"/>
                <w:color w:val="000000"/>
                <w:sz w:val="20"/>
                <w:szCs w:val="20"/>
                <w:highlight w:val="none"/>
              </w:rPr>
            </w:pPr>
            <w:r>
              <w:rPr>
                <w:rFonts w:hint="eastAsia" w:ascii="宋体" w:hAnsi="Times New Roman" w:cs="Times New Roman"/>
                <w:color w:val="000000"/>
                <w:sz w:val="20"/>
                <w:szCs w:val="20"/>
                <w:highlight w:val="none"/>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近期是否发生重大环境污染事故</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hAnsi="Times New Roman" w:cs="Times New Roman"/>
                <w:color w:val="000000"/>
                <w:sz w:val="20"/>
                <w:szCs w:val="20"/>
              </w:rPr>
              <w:t>执行标准：中华人民共和国安全消防法、中华人民共和国劳动合同法、中华人民共和国安全生产法等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lang w:eastAsia="zh-CN"/>
              </w:rPr>
            </w:pPr>
            <w:r>
              <w:rPr>
                <w:rFonts w:hint="eastAsia"/>
                <w:lang w:eastAsia="zh-CN"/>
              </w:rPr>
              <w:t>计算机系统集成工艺流程：</w:t>
            </w:r>
          </w:p>
          <w:p>
            <w:pPr>
              <w:spacing w:line="400" w:lineRule="exact"/>
              <w:rPr>
                <w:rFonts w:hint="eastAsia"/>
                <w:lang w:eastAsia="zh-CN"/>
              </w:rPr>
            </w:pPr>
            <w:r>
              <w:rPr>
                <w:rFonts w:hint="eastAsia"/>
                <w:lang w:eastAsia="zh-CN"/>
              </w:rPr>
              <w:t>项目立项→确定方案→合同签订→采购→安装调试→项目验收→交付。</w:t>
            </w:r>
          </w:p>
          <w:p>
            <w:pPr>
              <w:spacing w:line="400" w:lineRule="exact"/>
              <w:rPr>
                <w:rFonts w:hint="eastAsia"/>
                <w:lang w:eastAsia="zh-CN"/>
              </w:rPr>
            </w:pPr>
            <w:r>
              <w:rPr>
                <w:rFonts w:hint="eastAsia"/>
                <w:lang w:eastAsia="zh-CN"/>
              </w:rPr>
              <w:t>电子科技设备、安防产品、软硬件的销售流程图：</w:t>
            </w:r>
          </w:p>
          <w:p>
            <w:pPr>
              <w:spacing w:line="400" w:lineRule="exact"/>
              <w:rPr>
                <w:rFonts w:hint="eastAsia"/>
                <w:lang w:eastAsia="zh-CN"/>
              </w:rPr>
            </w:pPr>
            <w:r>
              <w:rPr>
                <w:rFonts w:hint="eastAsia"/>
                <w:lang w:eastAsia="zh-CN"/>
              </w:rPr>
              <w:t>签订合同</w:t>
            </w:r>
            <w:r>
              <w:rPr>
                <w:rFonts w:hint="eastAsia"/>
                <w:lang w:val="en-US" w:eastAsia="zh-CN"/>
              </w:rPr>
              <w:t>--采购产品--验收产品--交付客户</w:t>
            </w:r>
            <w:r>
              <w:rPr>
                <w:rFonts w:hint="eastAsia"/>
                <w:lang w:eastAsia="zh-CN"/>
              </w:rPr>
              <w:t xml:space="preserve"> 。</w:t>
            </w:r>
          </w:p>
          <w:p>
            <w:pPr>
              <w:pStyle w:val="2"/>
              <w:rPr>
                <w:rFonts w:hint="default"/>
                <w:lang w:val="en-US"/>
              </w:rPr>
            </w:pPr>
            <w:r>
              <w:rPr>
                <w:rFonts w:hint="eastAsia" w:ascii="宋体" w:hAnsi="宋体" w:cs="Times New Roman"/>
                <w:szCs w:val="21"/>
                <w:lang w:val="en-US" w:eastAsia="zh-CN"/>
              </w:rPr>
              <w:t>特殊过程：</w:t>
            </w:r>
            <w:r>
              <w:rPr>
                <w:rFonts w:hint="eastAsia" w:ascii="宋体" w:hAnsi="宋体"/>
                <w:szCs w:val="21"/>
              </w:rPr>
              <w:t>隐蔽工程</w:t>
            </w:r>
            <w:r>
              <w:rPr>
                <w:rFonts w:hint="eastAsia" w:ascii="宋体" w:hAnsi="宋体"/>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 w:val="20"/>
                <w:szCs w:val="20"/>
              </w:rPr>
              <w:t>安装</w:t>
            </w:r>
            <w:r>
              <w:rPr>
                <w:rFonts w:hint="eastAsia" w:ascii="宋体" w:hAnsi="宋体"/>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rPr>
              <w:t>运行策划和控制程序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szCs w:val="21"/>
              </w:rPr>
              <w:t>隐蔽工程</w:t>
            </w:r>
            <w:r>
              <w:rPr>
                <w:rFonts w:hint="eastAsia" w:ascii="宋体" w:hAnsi="宋体"/>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highlight w:val="none"/>
              </w:rPr>
              <w:t>电脑、服务器、打印机、复印机、熔钎机、电锤、手枪钻、剥线钳、压线钳、人字梯、切割机、弯管机等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监视和测量设备（请简述主要监视和测量设备）：</w:t>
            </w:r>
            <w:r>
              <w:rPr>
                <w:rFonts w:hint="eastAsia" w:ascii="宋体" w:hAnsi="宋体"/>
                <w:color w:val="000000" w:themeColor="text1"/>
                <w:spacing w:val="-10"/>
                <w:sz w:val="20"/>
                <w:szCs w:val="20"/>
                <w:highlight w:val="none"/>
                <w14:textFill>
                  <w14:solidFill>
                    <w14:schemeClr w14:val="tx1"/>
                  </w14:solidFill>
                </w14:textFill>
              </w:rPr>
              <w:t>万用表、</w:t>
            </w:r>
            <w:r>
              <w:rPr>
                <w:rFonts w:hint="eastAsia" w:ascii="宋体" w:hAnsi="宋体"/>
                <w:color w:val="000000" w:themeColor="text1"/>
                <w:spacing w:val="-10"/>
                <w:sz w:val="20"/>
                <w:szCs w:val="20"/>
                <w:highlight w:val="none"/>
                <w:lang w:val="en-US" w:eastAsia="zh-CN"/>
                <w14:textFill>
                  <w14:solidFill>
                    <w14:schemeClr w14:val="tx1"/>
                  </w14:solidFill>
                </w14:textFill>
              </w:rPr>
              <w:t>巡线仪</w:t>
            </w:r>
            <w:r>
              <w:rPr>
                <w:rFonts w:hint="eastAsia" w:ascii="宋体" w:hAnsi="宋体"/>
                <w:color w:val="000000" w:themeColor="text1"/>
                <w:spacing w:val="-10"/>
                <w:sz w:val="20"/>
                <w:szCs w:val="20"/>
                <w:highlight w:val="none"/>
                <w14:textFill>
                  <w14:solidFill>
                    <w14:schemeClr w14:val="tx1"/>
                  </w14:solidFill>
                </w14:textFill>
              </w:rPr>
              <w:t>等，</w:t>
            </w:r>
            <w:r>
              <w:rPr>
                <w:rFonts w:hint="eastAsia" w:ascii="宋体" w:hAnsi="宋体"/>
                <w:color w:val="000000" w:themeColor="text1"/>
                <w:spacing w:val="-10"/>
                <w:sz w:val="20"/>
                <w:szCs w:val="20"/>
                <w:highlight w:val="none"/>
                <w:lang w:eastAsia="zh-CN"/>
                <w14:textFill>
                  <w14:solidFill>
                    <w14:schemeClr w14:val="tx1"/>
                  </w14:solidFill>
                </w14:textFill>
              </w:rPr>
              <w:t>不</w:t>
            </w:r>
            <w:r>
              <w:rPr>
                <w:rFonts w:hint="eastAsia" w:ascii="宋体" w:hAnsi="宋体"/>
                <w:color w:val="000000" w:themeColor="text1"/>
                <w:spacing w:val="-10"/>
                <w:sz w:val="20"/>
                <w:szCs w:val="20"/>
                <w:highlight w:val="none"/>
                <w14:textFill>
                  <w14:solidFill>
                    <w14:schemeClr w14:val="tx1"/>
                  </w14:solidFill>
                </w14:textFill>
              </w:rPr>
              <w:t>能提供有效的校准证书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检测设备是否满足要求</w:t>
            </w:r>
            <w:r>
              <w:rPr>
                <w:rFonts w:hint="eastAsia" w:ascii="宋体"/>
                <w:color w:val="000000" w:themeColor="text1"/>
                <w:sz w:val="20"/>
                <w:szCs w:val="20"/>
                <w:highlight w:val="none"/>
              </w:rPr>
              <w:sym w:font="Wingdings 2" w:char="00A3"/>
            </w:r>
            <w:r>
              <w:rPr>
                <w:rFonts w:hint="eastAsia" w:ascii="宋体"/>
                <w:color w:val="000000" w:themeColor="text1"/>
                <w:sz w:val="20"/>
                <w:szCs w:val="20"/>
                <w:highlight w:val="none"/>
                <w14:textFill>
                  <w14:solidFill>
                    <w14:schemeClr w14:val="tx1"/>
                  </w14:solidFill>
                </w14:textFill>
              </w:rPr>
              <w:t>是</w:t>
            </w:r>
            <w:bookmarkStart w:id="24" w:name="_GoBack"/>
            <w:bookmarkEnd w:id="24"/>
            <w:r>
              <w:rPr>
                <w:rFonts w:hint="eastAsia" w:ascii="宋体"/>
                <w:color w:val="000000" w:themeColor="text1"/>
                <w:sz w:val="20"/>
                <w:szCs w:val="20"/>
                <w:highlight w:val="none"/>
                <w14:textFill>
                  <w14:solidFill>
                    <w14:schemeClr w14:val="tx1"/>
                  </w14:solidFill>
                </w14:textFill>
              </w:rPr>
              <w:sym w:font="Wingdings 2" w:char="0052"/>
            </w:r>
            <w:r>
              <w:rPr>
                <w:rFonts w:hint="eastAsia" w:ascii="宋体"/>
                <w:color w:val="000000" w:themeColor="text1"/>
                <w:sz w:val="20"/>
                <w:szCs w:val="20"/>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cs="Times New Roman"/>
                <w:color w:val="000000"/>
                <w:sz w:val="20"/>
                <w:szCs w:val="20"/>
              </w:rPr>
            </w:pPr>
            <w:r>
              <w:rPr>
                <w:rFonts w:hint="eastAsia" w:ascii="宋体" w:hAnsi="Times New Roman" w:cs="Times New Roman"/>
                <w:color w:val="000000"/>
                <w:sz w:val="20"/>
                <w:szCs w:val="20"/>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cs="Times New Roman"/>
                <w:color w:val="000000"/>
                <w:sz w:val="20"/>
                <w:szCs w:val="20"/>
              </w:rPr>
            </w:pPr>
            <w:r>
              <w:rPr>
                <w:rFonts w:hint="eastAsia" w:ascii="宋体" w:hAnsi="Times New Roman" w:cs="Times New Roman"/>
                <w:color w:val="000000"/>
                <w:sz w:val="20"/>
                <w:szCs w:val="20"/>
              </w:rPr>
              <w:t>重要环境因素有：1）潜在火灾；</w:t>
            </w:r>
            <w:r>
              <w:rPr>
                <w:rFonts w:hint="eastAsia" w:ascii="宋体" w:hAnsi="Times New Roman" w:cs="Times New Roman"/>
                <w:color w:val="000000"/>
                <w:sz w:val="20"/>
                <w:szCs w:val="20"/>
                <w:lang w:val="en-US" w:eastAsia="zh-CN"/>
              </w:rPr>
              <w:t>2）</w:t>
            </w:r>
            <w:r>
              <w:rPr>
                <w:rFonts w:hint="eastAsia" w:ascii="宋体" w:hAnsi="Times New Roman" w:cs="Times New Roman"/>
                <w:color w:val="000000"/>
                <w:sz w:val="20"/>
                <w:szCs w:val="20"/>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themeColor="text1"/>
                <w:sz w:val="20"/>
                <w:szCs w:val="20"/>
              </w:rPr>
              <w:t>火灾应急预案</w:t>
            </w:r>
            <w:r>
              <w:rPr>
                <w:rFonts w:hint="eastAsia" w:ascii="宋体"/>
                <w:color w:val="000000" w:themeColor="text1"/>
                <w:sz w:val="20"/>
                <w:szCs w:val="20"/>
                <w:lang w:eastAsia="zh-CN"/>
              </w:rPr>
              <w:t>、触电事故应急预案、交通意外事故应急预案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hAnsi="宋体"/>
                <w:color w:val="auto"/>
                <w:szCs w:val="21"/>
                <w:highlight w:val="none"/>
                <w:shd w:val="clear" w:color="auto" w:fill="auto"/>
              </w:rPr>
              <w:t>1）火灾、2</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触电、3）</w:t>
            </w:r>
            <w:r>
              <w:rPr>
                <w:rFonts w:hint="eastAsia" w:ascii="宋体" w:hAnsi="宋体"/>
                <w:color w:val="000000" w:themeColor="text1"/>
                <w:szCs w:val="21"/>
                <w:highlight w:val="none"/>
                <w:shd w:val="clear" w:color="auto" w:fill="auto"/>
              </w:rPr>
              <w:t>意外</w:t>
            </w:r>
            <w:r>
              <w:rPr>
                <w:rFonts w:hint="eastAsia" w:ascii="宋体" w:hAnsi="宋体"/>
                <w:color w:val="000000" w:themeColor="text1"/>
                <w:szCs w:val="21"/>
                <w:highlight w:val="none"/>
                <w:shd w:val="clear" w:color="auto" w:fill="auto"/>
                <w:lang w:val="en-US" w:eastAsia="zh-CN"/>
              </w:rPr>
              <w:t>交通</w:t>
            </w:r>
            <w:r>
              <w:rPr>
                <w:rFonts w:hint="eastAsia" w:ascii="宋体" w:hAnsi="宋体"/>
                <w:color w:val="000000" w:themeColor="text1"/>
                <w:szCs w:val="21"/>
                <w:highlight w:val="none"/>
                <w:shd w:val="clear" w:color="auto" w:fill="auto"/>
              </w:rPr>
              <w:t>伤害</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4）</w:t>
            </w:r>
            <w:r>
              <w:rPr>
                <w:rFonts w:hint="eastAsia" w:asciiTheme="minorEastAsia" w:hAnsiTheme="minorEastAsia"/>
                <w:color w:val="000000" w:themeColor="text1"/>
                <w:szCs w:val="21"/>
              </w:rPr>
              <w:t>高</w:t>
            </w:r>
            <w:r>
              <w:rPr>
                <w:rFonts w:hint="eastAsia" w:asciiTheme="minorEastAsia" w:hAnsiTheme="minorEastAsia"/>
                <w:color w:val="000000" w:themeColor="text1"/>
                <w:szCs w:val="21"/>
                <w:lang w:val="en-US" w:eastAsia="zh-CN"/>
              </w:rPr>
              <w:t>处</w:t>
            </w:r>
            <w:r>
              <w:rPr>
                <w:rFonts w:hint="eastAsia" w:asciiTheme="minorEastAsia" w:hAnsiTheme="minorEastAsia"/>
                <w:color w:val="000000" w:themeColor="text1"/>
                <w:szCs w:val="21"/>
              </w:rPr>
              <w:t>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cs="Times New Roman"/>
                <w:b/>
                <w:color w:val="000000"/>
                <w:sz w:val="20"/>
                <w:szCs w:val="20"/>
              </w:rPr>
            </w:pPr>
            <w:r>
              <w:rPr>
                <w:rFonts w:hint="eastAsia" w:ascii="宋体" w:hAnsi="宋体"/>
                <w:b/>
                <w:color w:val="000000"/>
                <w:sz w:val="20"/>
                <w:szCs w:val="20"/>
              </w:rPr>
              <w:t>重点审核部门：</w:t>
            </w:r>
            <w:r>
              <w:rPr>
                <w:rFonts w:hint="eastAsia" w:ascii="宋体" w:hAnsi="宋体" w:cs="Times New Roman"/>
                <w:b/>
                <w:color w:val="000000"/>
                <w:sz w:val="20"/>
                <w:szCs w:val="20"/>
              </w:rPr>
              <w:t>项目部、供销部</w:t>
            </w:r>
          </w:p>
          <w:p>
            <w:pPr>
              <w:spacing w:line="360" w:lineRule="auto"/>
              <w:rPr>
                <w:rFonts w:hint="eastAsia" w:ascii="宋体" w:hAnsi="宋体" w:cs="Times New Roman"/>
                <w:b/>
                <w:color w:val="000000"/>
                <w:sz w:val="20"/>
                <w:szCs w:val="20"/>
                <w:lang w:val="en-US" w:eastAsia="zh-CN"/>
              </w:rPr>
            </w:pPr>
            <w:r>
              <w:rPr>
                <w:rFonts w:hint="eastAsia" w:ascii="宋体" w:hAnsi="宋体" w:cs="Times New Roman"/>
                <w:b/>
                <w:color w:val="000000"/>
                <w:sz w:val="20"/>
                <w:szCs w:val="20"/>
              </w:rPr>
              <w:t>重点审核过程：外部供应产品和服务的控制、顾客满意；产品和服务放行、不合格产品和服务</w:t>
            </w:r>
          </w:p>
          <w:p>
            <w:pPr>
              <w:spacing w:line="360" w:lineRule="auto"/>
              <w:rPr>
                <w:rFonts w:hint="eastAsia" w:ascii="宋体" w:eastAsia="宋体"/>
                <w:b/>
                <w:color w:val="000000"/>
                <w:sz w:val="20"/>
                <w:szCs w:val="20"/>
                <w:lang w:eastAsia="zh-CN"/>
              </w:rPr>
            </w:pPr>
            <w:r>
              <w:rPr>
                <w:rFonts w:hint="eastAsia" w:ascii="宋体" w:hAnsi="宋体" w:cs="Times New Roman"/>
                <w:b/>
                <w:color w:val="000000"/>
                <w:sz w:val="20"/>
                <w:szCs w:val="20"/>
              </w:rPr>
              <w:t>重点审核场所：办公区域</w:t>
            </w:r>
            <w:r>
              <w:rPr>
                <w:rFonts w:hint="eastAsia" w:ascii="宋体" w:hAnsi="宋体" w:cs="Times New Roman"/>
                <w:b/>
                <w:color w:val="000000"/>
                <w:sz w:val="20"/>
                <w:szCs w:val="20"/>
                <w:lang w:val="en-US" w:eastAsia="zh-CN"/>
              </w:rPr>
              <w:t>及服务场所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r>
              <w:rPr>
                <w:rFonts w:hint="eastAsia" w:ascii="宋体" w:hAnsi="宋体" w:cs="Times New Roman"/>
                <w:b/>
                <w:color w:val="000000"/>
                <w:sz w:val="20"/>
                <w:szCs w:val="20"/>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cs="Times New Roman"/>
                <w:b/>
                <w:color w:val="000000"/>
                <w:sz w:val="20"/>
                <w:szCs w:val="20"/>
              </w:rPr>
              <w:t>办公区域</w:t>
            </w:r>
            <w:r>
              <w:rPr>
                <w:rFonts w:hint="eastAsia" w:ascii="宋体" w:hAnsi="宋体" w:cs="Times New Roman"/>
                <w:b/>
                <w:color w:val="000000"/>
                <w:sz w:val="20"/>
                <w:szCs w:val="20"/>
                <w:lang w:val="en-US" w:eastAsia="zh-CN"/>
              </w:rPr>
              <w:t>及服务场所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r>
              <w:rPr>
                <w:rFonts w:hint="eastAsia" w:ascii="宋体" w:hAnsi="宋体" w:cs="Times New Roman"/>
                <w:b/>
                <w:color w:val="000000"/>
                <w:sz w:val="20"/>
                <w:szCs w:val="20"/>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cs="Times New Roman"/>
                <w:b/>
                <w:color w:val="000000"/>
                <w:sz w:val="20"/>
                <w:szCs w:val="20"/>
              </w:rPr>
              <w:t>办公区域</w:t>
            </w:r>
            <w:r>
              <w:rPr>
                <w:rFonts w:hint="eastAsia" w:ascii="宋体" w:hAnsi="宋体" w:cs="Times New Roman"/>
                <w:b/>
                <w:color w:val="000000"/>
                <w:sz w:val="20"/>
                <w:szCs w:val="20"/>
                <w:lang w:val="en-US" w:eastAsia="zh-CN"/>
              </w:rPr>
              <w:t>及服务场所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jc w:val="lef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lang w:eastAsia="zh-CN"/>
              </w:rPr>
              <w:t>20</w:t>
            </w:r>
            <w:r>
              <w:rPr>
                <w:rFonts w:hint="eastAsia"/>
                <w:szCs w:val="21"/>
                <w:lang w:val="en-US" w:eastAsia="zh-CN"/>
              </w:rPr>
              <w:t>21</w:t>
            </w:r>
            <w:r>
              <w:rPr>
                <w:rFonts w:hint="eastAsia"/>
                <w:szCs w:val="21"/>
                <w:lang w:eastAsia="zh-CN"/>
              </w:rPr>
              <w:t>年</w:t>
            </w:r>
            <w:r>
              <w:rPr>
                <w:rFonts w:hint="eastAsia"/>
                <w:szCs w:val="21"/>
                <w:lang w:val="en-US" w:eastAsia="zh-CN"/>
              </w:rPr>
              <w:t>1</w:t>
            </w:r>
            <w:r>
              <w:rPr>
                <w:rFonts w:hint="eastAsia"/>
                <w:szCs w:val="21"/>
                <w:lang w:eastAsia="zh-CN"/>
              </w:rPr>
              <w:t>月</w:t>
            </w:r>
            <w:r>
              <w:rPr>
                <w:rFonts w:hint="eastAsia"/>
                <w:szCs w:val="21"/>
                <w:lang w:val="en-US" w:eastAsia="zh-CN"/>
              </w:rPr>
              <w:t>16-17</w:t>
            </w:r>
            <w:r>
              <w:rPr>
                <w:rFonts w:hint="eastAsia"/>
                <w:szCs w:val="21"/>
                <w:lang w:eastAsia="zh-CN"/>
              </w:rPr>
              <w:t>日</w:t>
            </w:r>
            <w:r>
              <w:rPr>
                <w:rFonts w:hint="eastAsia"/>
                <w:szCs w:val="21"/>
              </w:rPr>
              <w:t>进行了内部审核。内部审核组组成：</w:t>
            </w:r>
            <w:r>
              <w:rPr>
                <w:rFonts w:hint="eastAsia" w:ascii="宋体" w:hAnsi="宋体" w:eastAsia="宋体" w:cs="Times New Roman"/>
                <w:szCs w:val="21"/>
                <w:lang w:eastAsia="zh-CN"/>
              </w:rPr>
              <w:t>陈丽</w:t>
            </w:r>
            <w:r>
              <w:rPr>
                <w:rFonts w:hint="eastAsia" w:ascii="宋体" w:hAnsi="宋体" w:eastAsia="宋体" w:cs="Times New Roman"/>
                <w:szCs w:val="21"/>
              </w:rPr>
              <w:t>（</w:t>
            </w:r>
            <w:r>
              <w:rPr>
                <w:rFonts w:hint="eastAsia" w:ascii="宋体" w:hAnsi="宋体" w:eastAsia="宋体" w:cs="Times New Roman"/>
                <w:szCs w:val="21"/>
                <w:lang w:eastAsia="zh-CN"/>
              </w:rPr>
              <w:t>行政部</w:t>
            </w:r>
            <w:r>
              <w:rPr>
                <w:rFonts w:hint="eastAsia" w:ascii="宋体" w:hAnsi="宋体" w:eastAsia="宋体" w:cs="Times New Roman"/>
                <w:szCs w:val="21"/>
              </w:rPr>
              <w:t>）A           组员：</w:t>
            </w:r>
            <w:r>
              <w:rPr>
                <w:rFonts w:hint="eastAsia" w:ascii="宋体" w:hAnsi="宋体" w:eastAsia="宋体" w:cs="Times New Roman"/>
                <w:szCs w:val="21"/>
                <w:lang w:eastAsia="zh-CN"/>
              </w:rPr>
              <w:t>刘敏</w:t>
            </w:r>
            <w:r>
              <w:rPr>
                <w:rFonts w:hint="eastAsia" w:ascii="宋体" w:hAnsi="宋体" w:eastAsia="宋体" w:cs="Times New Roman"/>
                <w:szCs w:val="21"/>
              </w:rPr>
              <w:t>（</w:t>
            </w:r>
            <w:r>
              <w:rPr>
                <w:rFonts w:hint="eastAsia" w:ascii="宋体" w:hAnsi="宋体" w:eastAsia="宋体" w:cs="Times New Roman"/>
                <w:szCs w:val="21"/>
                <w:lang w:eastAsia="zh-CN"/>
              </w:rPr>
              <w:t>供销部</w:t>
            </w:r>
            <w:r>
              <w:rPr>
                <w:rFonts w:hint="eastAsia" w:ascii="宋体" w:hAnsi="宋体" w:eastAsia="宋体" w:cs="Times New Roman"/>
                <w:szCs w:val="21"/>
              </w:rPr>
              <w:t>）B</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hAnsi="Times New Roman" w:eastAsia="宋体" w:cs="Times New Roman"/>
                <w:b/>
                <w:color w:val="000000"/>
                <w:kern w:val="2"/>
                <w:sz w:val="20"/>
                <w:szCs w:val="20"/>
                <w:lang w:val="en-US" w:eastAsia="zh-CN" w:bidi="ar-SA"/>
              </w:rPr>
            </w:pPr>
            <w:r>
              <w:rPr>
                <w:rFonts w:hint="eastAsia"/>
                <w:szCs w:val="21"/>
              </w:rPr>
              <w:t>审核准则：a.GB/T 19001:2016、</w:t>
            </w:r>
            <w:r>
              <w:rPr>
                <w:rFonts w:hint="eastAsia"/>
                <w:color w:val="000000" w:themeColor="text1"/>
                <w:sz w:val="21"/>
                <w:szCs w:val="21"/>
              </w:rPr>
              <w:t>GB/T24001-2016、ISO45001-2018</w:t>
            </w:r>
            <w:r>
              <w:rPr>
                <w:rFonts w:hint="eastAsia"/>
                <w:szCs w:val="21"/>
              </w:rPr>
              <w:t>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40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400" w:lineRule="exact"/>
              <w:rPr>
                <w:rFonts w:ascii="宋体" w:hAnsi="宋体" w:eastAsia="宋体" w:cs="Times New Roman"/>
                <w:b/>
                <w:color w:val="000000"/>
                <w:kern w:val="2"/>
                <w:sz w:val="20"/>
                <w:szCs w:val="20"/>
                <w:lang w:val="en-US" w:eastAsia="zh-CN" w:bidi="ar-SA"/>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p>
          <w:p>
            <w:pPr>
              <w:spacing w:line="260" w:lineRule="exact"/>
              <w:rPr>
                <w:rFonts w:ascii="宋体" w:hAnsi="Times New Roman" w:eastAsia="宋体" w:cs="Times New Roman"/>
                <w:b/>
                <w:color w:val="000000" w:themeColor="text1"/>
                <w:kern w:val="2"/>
                <w:sz w:val="21"/>
                <w:szCs w:val="21"/>
                <w:lang w:val="en-US" w:eastAsia="zh-CN" w:bidi="ar-SA"/>
              </w:rPr>
            </w:pPr>
            <w:r>
              <w:rPr>
                <w:rFonts w:hint="eastAsia"/>
                <w:color w:val="000000" w:themeColor="text1"/>
                <w:sz w:val="21"/>
                <w:szCs w:val="21"/>
              </w:rPr>
              <w:t>建立有《管理评审控制程序》，于</w:t>
            </w:r>
            <w:r>
              <w:rPr>
                <w:rFonts w:hint="eastAsia" w:ascii="宋体" w:hAnsi="宋体" w:eastAsia="宋体" w:cs="Times New Roman"/>
                <w:szCs w:val="21"/>
                <w:lang w:val="en-US" w:eastAsia="zh-CN"/>
              </w:rPr>
              <w:t>2021年1月30日</w:t>
            </w:r>
            <w:r>
              <w:rPr>
                <w:rFonts w:hint="eastAsia" w:ascii="宋体" w:hAnsi="宋体"/>
                <w:color w:val="000000" w:themeColor="text1"/>
                <w:kern w:val="0"/>
                <w:sz w:val="21"/>
                <w:szCs w:val="21"/>
              </w:rPr>
              <w:t>由总经理主持</w:t>
            </w:r>
            <w:r>
              <w:rPr>
                <w:rFonts w:hint="eastAsia"/>
                <w:color w:val="000000" w:themeColor="text1"/>
                <w:sz w:val="21"/>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eastAsia="宋体"/>
          <w:color w:val="000000"/>
          <w:szCs w:val="21"/>
          <w:u w:val="single"/>
          <w:lang w:eastAsia="zh-CN"/>
        </w:rPr>
      </w:pPr>
      <w:r>
        <w:rPr>
          <w:rFonts w:ascii="宋体" w:hAnsi="宋体"/>
          <w:b/>
          <w:color w:val="000000"/>
          <w:sz w:val="20"/>
          <w:u w:val="single"/>
        </w:rPr>
        <w:t>QMS:</w:t>
      </w:r>
      <w:r>
        <w:rPr>
          <w:rFonts w:hint="eastAsia" w:ascii="宋体" w:hAnsi="宋体"/>
          <w:szCs w:val="21"/>
          <w:u w:val="single"/>
        </w:rPr>
        <w:t>计算机系统集成，电子科技设备、安防产品、软硬件的销售</w:t>
      </w:r>
      <w:r>
        <w:rPr>
          <w:rFonts w:hint="eastAsia" w:ascii="宋体" w:hAnsi="宋体"/>
          <w:szCs w:val="21"/>
          <w:u w:val="single"/>
          <w:lang w:eastAsia="zh-CN"/>
        </w:rPr>
        <w:t>。</w:t>
      </w:r>
    </w:p>
    <w:p>
      <w:pPr>
        <w:ind w:firstLine="201" w:firstLineChars="100"/>
        <w:rPr>
          <w:rFonts w:ascii="宋体"/>
          <w:b/>
          <w:color w:val="000000"/>
          <w:sz w:val="20"/>
          <w:u w:val="single"/>
        </w:rPr>
      </w:pPr>
      <w:r>
        <w:rPr>
          <w:rFonts w:ascii="宋体" w:hAnsi="宋体"/>
          <w:b/>
          <w:color w:val="000000"/>
          <w:sz w:val="20"/>
          <w:u w:val="single"/>
        </w:rPr>
        <w:t>EMS</w:t>
      </w:r>
      <w:r>
        <w:rPr>
          <w:rFonts w:ascii="宋体" w:hAnsi="宋体"/>
          <w:b/>
          <w:color w:val="000000"/>
          <w:sz w:val="20"/>
          <w:u w:val="single"/>
          <w:lang w:val="en-GB"/>
        </w:rPr>
        <w:t>:</w:t>
      </w:r>
      <w:r>
        <w:rPr>
          <w:rFonts w:hint="eastAsia" w:ascii="宋体" w:hAnsi="宋体"/>
          <w:szCs w:val="21"/>
          <w:u w:val="single"/>
        </w:rPr>
        <w:t>计算机系统集成，电子科技设备、安防产品、软硬件的销售所涉及场所的相关环境管理活动。</w:t>
      </w:r>
    </w:p>
    <w:p>
      <w:pPr>
        <w:ind w:left="1002" w:leftChars="95" w:hanging="803" w:hangingChars="400"/>
        <w:rPr>
          <w:rFonts w:ascii="宋体" w:hAnsi="宋体"/>
          <w:szCs w:val="21"/>
          <w:u w:val="single"/>
        </w:rPr>
      </w:pPr>
      <w:r>
        <w:rPr>
          <w:rFonts w:ascii="宋体" w:hAnsi="宋体"/>
          <w:b/>
          <w:color w:val="000000"/>
          <w:sz w:val="20"/>
          <w:u w:val="single"/>
        </w:rPr>
        <w:t>OHSMS</w:t>
      </w:r>
      <w:r>
        <w:rPr>
          <w:rFonts w:ascii="宋体" w:hAnsi="宋体"/>
          <w:b/>
          <w:color w:val="000000"/>
          <w:sz w:val="20"/>
          <w:u w:val="single"/>
          <w:lang w:val="en-GB"/>
        </w:rPr>
        <w:t>:</w:t>
      </w:r>
      <w:r>
        <w:rPr>
          <w:rFonts w:hint="eastAsia" w:ascii="宋体" w:hAnsi="宋体"/>
          <w:szCs w:val="21"/>
          <w:u w:val="single"/>
        </w:rPr>
        <w:t>计算机系统集成，电子科技设备、安防产品、软硬件的销售所涉及场所的相关职业健康安全管理活动。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4384" behindDoc="0" locked="0" layoutInCell="1" allowOverlap="1">
            <wp:simplePos x="0" y="0"/>
            <wp:positionH relativeFrom="column">
              <wp:posOffset>1881505</wp:posOffset>
            </wp:positionH>
            <wp:positionV relativeFrom="paragraph">
              <wp:posOffset>2540</wp:posOffset>
            </wp:positionV>
            <wp:extent cx="335915" cy="311150"/>
            <wp:effectExtent l="0" t="0" r="6985" b="6350"/>
            <wp:wrapNone/>
            <wp:docPr id="4"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e69cce4380e02713697e955d1ffd9"/>
                    <pic:cNvPicPr>
                      <a:picLocks noChangeAspect="1"/>
                    </pic:cNvPicPr>
                  </pic:nvPicPr>
                  <pic:blipFill>
                    <a:blip r:embed="rId6"/>
                    <a:stretch>
                      <a:fillRect/>
                    </a:stretch>
                  </pic:blipFill>
                  <pic:spPr>
                    <a:xfrm>
                      <a:off x="0" y="0"/>
                      <a:ext cx="335915" cy="31115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rPr>
        <w:drawing>
          <wp:anchor distT="0" distB="0" distL="114300" distR="114300" simplePos="0" relativeHeight="251663360" behindDoc="0" locked="0" layoutInCell="1" allowOverlap="1">
            <wp:simplePos x="0" y="0"/>
            <wp:positionH relativeFrom="column">
              <wp:posOffset>2979420</wp:posOffset>
            </wp:positionH>
            <wp:positionV relativeFrom="paragraph">
              <wp:posOffset>127000</wp:posOffset>
            </wp:positionV>
            <wp:extent cx="544830" cy="248920"/>
            <wp:effectExtent l="0" t="0" r="1270" b="5080"/>
            <wp:wrapNone/>
            <wp:docPr id="6"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87ac17c702f787ebcb7b5ad453f94b0"/>
                    <pic:cNvPicPr>
                      <a:picLocks noChangeAspect="1"/>
                    </pic:cNvPicPr>
                  </pic:nvPicPr>
                  <pic:blipFill>
                    <a:blip r:embed="rId7"/>
                    <a:stretch>
                      <a:fillRect/>
                    </a:stretch>
                  </pic:blipFill>
                  <pic:spPr>
                    <a:xfrm>
                      <a:off x="0" y="0"/>
                      <a:ext cx="544830" cy="248920"/>
                    </a:xfrm>
                    <a:prstGeom prst="rect">
                      <a:avLst/>
                    </a:prstGeom>
                    <a:noFill/>
                    <a:ln>
                      <a:noFill/>
                    </a:ln>
                  </pic:spPr>
                </pic:pic>
              </a:graphicData>
            </a:graphic>
          </wp:anchor>
        </w:drawing>
      </w:r>
      <w:r>
        <w:rPr>
          <w:sz w:val="24"/>
        </w:rPr>
        <w:drawing>
          <wp:anchor distT="0" distB="0" distL="114300" distR="114300" simplePos="0" relativeHeight="251666432" behindDoc="0" locked="0" layoutInCell="1" allowOverlap="1">
            <wp:simplePos x="0" y="0"/>
            <wp:positionH relativeFrom="column">
              <wp:posOffset>2297430</wp:posOffset>
            </wp:positionH>
            <wp:positionV relativeFrom="paragraph">
              <wp:posOffset>48260</wp:posOffset>
            </wp:positionV>
            <wp:extent cx="590550" cy="426720"/>
            <wp:effectExtent l="0" t="0" r="6350" b="508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1847850</wp:posOffset>
            </wp:positionH>
            <wp:positionV relativeFrom="paragraph">
              <wp:posOffset>62865</wp:posOffset>
            </wp:positionV>
            <wp:extent cx="422910" cy="320040"/>
            <wp:effectExtent l="0" t="0" r="8890" b="10160"/>
            <wp:wrapNone/>
            <wp:docPr id="7"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签名.jpg"/>
                    <pic:cNvPicPr>
                      <a:picLocks noChangeAspect="1"/>
                    </pic:cNvPicPr>
                  </pic:nvPicPr>
                  <pic:blipFill>
                    <a:blip r:embed="rId9"/>
                    <a:stretch>
                      <a:fillRect/>
                    </a:stretch>
                  </pic:blipFill>
                  <pic:spPr>
                    <a:xfrm>
                      <a:off x="0" y="0"/>
                      <a:ext cx="422910" cy="32004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2021年04月25日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受审核方：重庆国本科技有限公司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8" w:type="dxa"/>
            <w:vAlign w:val="top"/>
          </w:tcPr>
          <w:p>
            <w:pPr>
              <w:pStyle w:val="5"/>
              <w:pBdr>
                <w:bottom w:val="none" w:color="auto" w:sz="0" w:space="0"/>
              </w:pBdr>
              <w:ind w:right="600"/>
              <w:jc w:val="both"/>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1</w:t>
            </w:r>
          </w:p>
          <w:p>
            <w:pPr>
              <w:pStyle w:val="5"/>
              <w:pBdr>
                <w:bottom w:val="none" w:color="auto" w:sz="0" w:space="0"/>
              </w:pBdr>
              <w:ind w:right="600"/>
              <w:jc w:val="both"/>
              <w:rPr>
                <w:rFonts w:ascii="宋体"/>
                <w:color w:val="000000" w:themeColor="text1"/>
                <w:sz w:val="24"/>
                <w:szCs w:val="24"/>
              </w:rPr>
            </w:pPr>
          </w:p>
          <w:p>
            <w:pPr>
              <w:pStyle w:val="5"/>
              <w:pBdr>
                <w:bottom w:val="none" w:color="auto" w:sz="0" w:space="0"/>
              </w:pBdr>
              <w:ind w:right="600" w:rightChars="0"/>
              <w:jc w:val="both"/>
              <w:rPr>
                <w:rFonts w:hint="eastAsia" w:ascii="宋体" w:hAnsi="Calibri" w:eastAsia="宋体" w:cs="Times New Roman"/>
                <w:color w:val="000000" w:themeColor="text1"/>
                <w:kern w:val="2"/>
                <w:sz w:val="24"/>
                <w:szCs w:val="24"/>
                <w:lang w:val="en-US" w:eastAsia="zh-CN" w:bidi="ar-SA"/>
              </w:rPr>
            </w:pPr>
          </w:p>
        </w:tc>
        <w:tc>
          <w:tcPr>
            <w:tcW w:w="5681" w:type="dxa"/>
            <w:vAlign w:val="top"/>
          </w:tcPr>
          <w:p>
            <w:pPr>
              <w:pStyle w:val="5"/>
              <w:pBdr>
                <w:bottom w:val="none" w:color="auto" w:sz="0" w:space="0"/>
              </w:pBdr>
              <w:tabs>
                <w:tab w:val="center" w:pos="5737"/>
                <w:tab w:val="clear" w:pos="4153"/>
              </w:tabs>
              <w:jc w:val="both"/>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Times New Roman"/>
                <w:color w:val="000000" w:themeColor="text1"/>
                <w:kern w:val="2"/>
                <w:sz w:val="21"/>
                <w:szCs w:val="21"/>
                <w:highlight w:val="none"/>
                <w:lang w:val="en-US" w:eastAsia="zh-CN" w:bidi="ar-SA"/>
              </w:rPr>
              <w:t>抽查在用检测设备的检定或校准证书,</w:t>
            </w:r>
            <w:r>
              <w:rPr>
                <w:rFonts w:hint="eastAsia" w:ascii="宋体" w:hAnsi="宋体"/>
                <w:color w:val="000000" w:themeColor="text1"/>
                <w:sz w:val="21"/>
                <w:szCs w:val="21"/>
                <w:highlight w:val="none"/>
                <w:lang w:eastAsia="zh-CN"/>
              </w:rPr>
              <w:t>万用表</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巡线仪</w:t>
            </w:r>
            <w:r>
              <w:rPr>
                <w:rFonts w:hint="eastAsia" w:ascii="宋体" w:hAnsi="宋体"/>
                <w:color w:val="000000" w:themeColor="text1"/>
                <w:sz w:val="21"/>
                <w:szCs w:val="21"/>
                <w:highlight w:val="none"/>
              </w:rPr>
              <w:t>等</w:t>
            </w:r>
            <w:r>
              <w:rPr>
                <w:rFonts w:hint="eastAsia" w:ascii="宋体" w:hAnsi="宋体" w:cs="宋体"/>
                <w:color w:val="000000" w:themeColor="text1"/>
                <w:sz w:val="21"/>
                <w:szCs w:val="21"/>
                <w:highlight w:val="none"/>
                <w:lang w:val="en-US" w:eastAsia="zh-CN"/>
              </w:rPr>
              <w:t>不</w:t>
            </w:r>
            <w:r>
              <w:rPr>
                <w:rFonts w:hint="eastAsia" w:ascii="宋体" w:hAnsi="宋体" w:eastAsia="宋体" w:cs="Times New Roman"/>
                <w:color w:val="000000" w:themeColor="text1"/>
                <w:kern w:val="2"/>
                <w:sz w:val="21"/>
                <w:szCs w:val="21"/>
                <w:highlight w:val="none"/>
                <w:lang w:val="en-US" w:eastAsia="zh-CN" w:bidi="ar-SA"/>
              </w:rPr>
              <w:t>能提供有效的校准检定证书</w:t>
            </w:r>
            <w:r>
              <w:rPr>
                <w:rFonts w:hint="eastAsia" w:ascii="宋体" w:hAnsi="宋体" w:cs="Times New Roman"/>
                <w:color w:val="000000" w:themeColor="text1"/>
                <w:kern w:val="2"/>
                <w:sz w:val="21"/>
                <w:szCs w:val="21"/>
                <w:highlight w:val="none"/>
                <w:lang w:val="en-US" w:eastAsia="zh-CN" w:bidi="ar-SA"/>
              </w:rPr>
              <w:t>。</w:t>
            </w:r>
          </w:p>
        </w:tc>
        <w:tc>
          <w:tcPr>
            <w:tcW w:w="1688" w:type="dxa"/>
            <w:vAlign w:val="top"/>
          </w:tcPr>
          <w:p>
            <w:pPr>
              <w:pStyle w:val="5"/>
              <w:pBdr>
                <w:bottom w:val="none" w:color="auto" w:sz="0" w:space="0"/>
              </w:pBdr>
              <w:ind w:right="600"/>
              <w:jc w:val="both"/>
              <w:rPr>
                <w:color w:val="000000" w:themeColor="text1"/>
                <w:sz w:val="21"/>
                <w:szCs w:val="21"/>
                <w:highlight w:val="none"/>
              </w:rPr>
            </w:pPr>
            <w:r>
              <w:rPr>
                <w:rFonts w:hint="eastAsia"/>
                <w:color w:val="000000" w:themeColor="text1"/>
                <w:sz w:val="21"/>
                <w:szCs w:val="21"/>
                <w:highlight w:val="none"/>
              </w:rPr>
              <w:t>GB/T19001-2016</w:t>
            </w:r>
          </w:p>
          <w:p>
            <w:pPr>
              <w:pStyle w:val="5"/>
              <w:pBdr>
                <w:bottom w:val="none" w:color="auto" w:sz="0" w:space="0"/>
              </w:pBdr>
              <w:ind w:right="600"/>
              <w:jc w:val="both"/>
              <w:rPr>
                <w:color w:val="000000" w:themeColor="text1"/>
                <w:sz w:val="21"/>
                <w:szCs w:val="21"/>
                <w:highlight w:val="none"/>
              </w:rPr>
            </w:pPr>
          </w:p>
          <w:p>
            <w:pPr>
              <w:pStyle w:val="5"/>
              <w:pBdr>
                <w:bottom w:val="none" w:color="auto" w:sz="0" w:space="0"/>
              </w:pBdr>
              <w:ind w:right="600" w:rightChars="0"/>
              <w:jc w:val="both"/>
              <w:rPr>
                <w:rFonts w:hint="default" w:ascii="Calibri" w:hAnsi="Calibri" w:eastAsia="宋体" w:cs="Times New Roman"/>
                <w:color w:val="000000" w:themeColor="text1"/>
                <w:kern w:val="2"/>
                <w:sz w:val="21"/>
                <w:szCs w:val="21"/>
                <w:highlight w:val="none"/>
                <w:lang w:val="en-US" w:eastAsia="zh-CN" w:bidi="ar-SA"/>
              </w:rPr>
            </w:pPr>
          </w:p>
        </w:tc>
        <w:tc>
          <w:tcPr>
            <w:tcW w:w="1811" w:type="dxa"/>
            <w:vAlign w:val="top"/>
          </w:tcPr>
          <w:p>
            <w:pPr>
              <w:pStyle w:val="5"/>
              <w:pBdr>
                <w:bottom w:val="none" w:color="auto" w:sz="0" w:space="0"/>
              </w:pBdr>
              <w:ind w:right="600"/>
              <w:jc w:val="both"/>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7.1.5</w:t>
            </w:r>
          </w:p>
          <w:p>
            <w:pPr>
              <w:pStyle w:val="5"/>
              <w:pBdr>
                <w:bottom w:val="none" w:color="auto" w:sz="0" w:space="0"/>
              </w:pBdr>
              <w:ind w:right="600" w:rightChars="0"/>
              <w:jc w:val="both"/>
              <w:rPr>
                <w:rFonts w:hint="default" w:ascii="Calibri" w:hAnsi="Calibri" w:eastAsia="宋体" w:cs="Times New Roman"/>
                <w:color w:val="000000" w:themeColor="text1"/>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623570</wp:posOffset>
                  </wp:positionH>
                  <wp:positionV relativeFrom="paragraph">
                    <wp:posOffset>83185</wp:posOffset>
                  </wp:positionV>
                  <wp:extent cx="322580" cy="298450"/>
                  <wp:effectExtent l="0" t="0" r="7620" b="635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322580" cy="29845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tabs>
                <w:tab w:val="left" w:pos="8740"/>
              </w:tabs>
              <w:spacing w:line="360" w:lineRule="exact"/>
              <w:rPr>
                <w:b/>
                <w:color w:val="000000"/>
                <w:spacing w:val="-1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617220</wp:posOffset>
                  </wp:positionH>
                  <wp:positionV relativeFrom="paragraph">
                    <wp:posOffset>59055</wp:posOffset>
                  </wp:positionV>
                  <wp:extent cx="367030" cy="339725"/>
                  <wp:effectExtent l="0" t="0" r="1270" b="3175"/>
                  <wp:wrapNone/>
                  <wp:docPr id="3"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e69cce4380e02713697e955d1ffd9"/>
                          <pic:cNvPicPr>
                            <a:picLocks noChangeAspect="1"/>
                          </pic:cNvPicPr>
                        </pic:nvPicPr>
                        <pic:blipFill>
                          <a:blip r:embed="rId6"/>
                          <a:stretch>
                            <a:fillRect/>
                          </a:stretch>
                        </pic:blipFill>
                        <pic:spPr>
                          <a:xfrm>
                            <a:off x="0" y="0"/>
                            <a:ext cx="367030" cy="339725"/>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D47A5"/>
    <w:rsid w:val="20416A30"/>
    <w:rsid w:val="2EC94B0E"/>
    <w:rsid w:val="5EF178B8"/>
    <w:rsid w:val="695B2FF6"/>
    <w:rsid w:val="6FAF1E11"/>
    <w:rsid w:val="7958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cp:lastPrinted>2021-05-05T07:04:05Z</cp:lastPrinted>
  <dcterms:modified xsi:type="dcterms:W3CDTF">2021-05-05T07:15:39Z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4D961FAE99004440B510364D698E4C0D</vt:lpwstr>
  </property>
</Properties>
</file>