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Theme="minorEastAsia" w:hAnsiTheme="minorEastAsia" w:eastAsiaTheme="minorEastAsia" w:cstheme="minorEastAsia"/>
          <w:bCs/>
          <w:color w:val="000000"/>
          <w:sz w:val="36"/>
          <w:szCs w:val="36"/>
        </w:rPr>
        <w:t>管理体系审核记录表</w:t>
      </w:r>
    </w:p>
    <w:tbl>
      <w:tblPr>
        <w:tblStyle w:val="18"/>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过程与活动、</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抽样计划</w:t>
            </w:r>
          </w:p>
        </w:tc>
        <w:tc>
          <w:tcPr>
            <w:tcW w:w="965" w:type="dxa"/>
            <w:vMerge w:val="restar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涉及</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条款</w:t>
            </w:r>
          </w:p>
        </w:tc>
        <w:tc>
          <w:tcPr>
            <w:tcW w:w="10927" w:type="dxa"/>
            <w:vAlign w:val="center"/>
          </w:tcPr>
          <w:p>
            <w:pPr>
              <w:rPr>
                <w:rFonts w:hint="eastAsia" w:ascii="宋体" w:hAnsi="宋体" w:eastAsia="宋体" w:cs="宋体"/>
                <w:szCs w:val="22"/>
                <w:highlight w:val="none"/>
                <w:lang w:eastAsia="zh-CN"/>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专业计量室</w:t>
            </w:r>
            <w:r>
              <w:rPr>
                <w:rFonts w:hint="eastAsia" w:ascii="宋体" w:hAnsi="宋体" w:eastAsia="宋体" w:cs="宋体"/>
                <w:sz w:val="24"/>
                <w:szCs w:val="24"/>
              </w:rPr>
              <w:t xml:space="preserve">   主管领导：</w:t>
            </w:r>
            <w:r>
              <w:rPr>
                <w:rFonts w:hint="eastAsia" w:ascii="宋体" w:hAnsi="宋体" w:eastAsia="宋体" w:cs="宋体"/>
                <w:sz w:val="24"/>
                <w:szCs w:val="24"/>
                <w:lang w:val="en-US" w:eastAsia="zh-CN"/>
              </w:rPr>
              <w:t>刘海平</w:t>
            </w:r>
            <w:r>
              <w:rPr>
                <w:rFonts w:hint="eastAsia" w:ascii="宋体" w:hAnsi="宋体" w:eastAsia="宋体" w:cs="宋体"/>
                <w:sz w:val="24"/>
                <w:szCs w:val="24"/>
              </w:rPr>
              <w:t xml:space="preserve">      陪同人员：</w:t>
            </w:r>
            <w:r>
              <w:rPr>
                <w:rFonts w:hint="eastAsia" w:ascii="宋体" w:hAnsi="宋体" w:eastAsia="宋体" w:cs="宋体"/>
                <w:sz w:val="24"/>
                <w:szCs w:val="24"/>
                <w:lang w:val="en-US" w:eastAsia="zh-CN"/>
              </w:rPr>
              <w:t>陈飞燕</w:t>
            </w:r>
          </w:p>
        </w:tc>
        <w:tc>
          <w:tcPr>
            <w:tcW w:w="732"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rPr>
                <w:rFonts w:hint="eastAsia" w:ascii="宋体" w:hAnsi="宋体" w:eastAsia="宋体" w:cs="宋体"/>
                <w:sz w:val="21"/>
                <w:szCs w:val="21"/>
                <w:highlight w:val="none"/>
              </w:rPr>
            </w:pPr>
          </w:p>
        </w:tc>
        <w:tc>
          <w:tcPr>
            <w:tcW w:w="965" w:type="dxa"/>
            <w:vMerge w:val="continue"/>
            <w:vAlign w:val="center"/>
          </w:tcPr>
          <w:p>
            <w:pPr>
              <w:rPr>
                <w:rFonts w:hint="eastAsia" w:ascii="宋体" w:hAnsi="宋体" w:eastAsia="宋体" w:cs="宋体"/>
                <w:sz w:val="21"/>
                <w:szCs w:val="21"/>
                <w:highlight w:val="none"/>
              </w:rPr>
            </w:pPr>
          </w:p>
        </w:tc>
        <w:tc>
          <w:tcPr>
            <w:tcW w:w="10927" w:type="dxa"/>
            <w:vAlign w:val="center"/>
          </w:tcPr>
          <w:p>
            <w:pPr>
              <w:spacing w:before="120"/>
              <w:rPr>
                <w:rFonts w:hint="eastAsia" w:ascii="宋体" w:hAnsi="宋体" w:eastAsia="宋体" w:cs="宋体"/>
                <w:szCs w:val="22"/>
                <w:highlight w:val="none"/>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郭力</w:t>
            </w:r>
            <w:r>
              <w:rPr>
                <w:rFonts w:hint="eastAsia" w:ascii="宋体" w:hAnsi="宋体" w:eastAsia="宋体" w:cs="宋体"/>
                <w:sz w:val="24"/>
                <w:szCs w:val="24"/>
              </w:rPr>
              <w:t xml:space="preserve">     审核时间：20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4日</w:t>
            </w:r>
          </w:p>
        </w:tc>
        <w:tc>
          <w:tcPr>
            <w:tcW w:w="732"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rPr>
                <w:rFonts w:hint="eastAsia" w:ascii="宋体" w:hAnsi="宋体" w:eastAsia="宋体" w:cs="宋体"/>
                <w:sz w:val="21"/>
                <w:szCs w:val="21"/>
                <w:highlight w:val="none"/>
              </w:rPr>
            </w:pPr>
          </w:p>
        </w:tc>
        <w:tc>
          <w:tcPr>
            <w:tcW w:w="965" w:type="dxa"/>
            <w:vMerge w:val="continue"/>
            <w:vAlign w:val="center"/>
          </w:tcPr>
          <w:p>
            <w:pPr>
              <w:rPr>
                <w:rFonts w:hint="eastAsia" w:ascii="宋体" w:hAnsi="宋体" w:eastAsia="宋体" w:cs="宋体"/>
                <w:sz w:val="21"/>
                <w:szCs w:val="21"/>
                <w:highlight w:val="none"/>
              </w:rPr>
            </w:pPr>
          </w:p>
        </w:tc>
        <w:tc>
          <w:tcPr>
            <w:tcW w:w="10927" w:type="dxa"/>
            <w:vAlign w:val="center"/>
          </w:tcPr>
          <w:p>
            <w:pPr>
              <w:rPr>
                <w:rFonts w:hint="eastAsia" w:ascii="宋体" w:hAnsi="宋体" w:eastAsia="宋体" w:cs="宋体"/>
                <w:szCs w:val="22"/>
                <w:highlight w:val="none"/>
              </w:rPr>
            </w:pPr>
            <w:r>
              <w:rPr>
                <w:rFonts w:hint="eastAsia" w:ascii="宋体" w:hAnsi="宋体" w:eastAsia="宋体" w:cs="宋体"/>
                <w:szCs w:val="22"/>
                <w:highlight w:val="none"/>
              </w:rPr>
              <w:t>审核条款：</w:t>
            </w:r>
          </w:p>
          <w:p>
            <w:pPr>
              <w:rPr>
                <w:rFonts w:hint="eastAsia" w:ascii="宋体" w:hAnsi="宋体" w:eastAsia="宋体" w:cs="宋体"/>
                <w:szCs w:val="22"/>
                <w:highlight w:val="none"/>
              </w:rPr>
            </w:pPr>
            <w:r>
              <w:rPr>
                <w:rFonts w:hint="eastAsia" w:asciiTheme="minorEastAsia" w:hAnsiTheme="minorEastAsia" w:eastAsiaTheme="minorEastAsia" w:cstheme="minorEastAsia"/>
                <w:b w:val="0"/>
                <w:bCs w:val="0"/>
                <w:color w:val="auto"/>
                <w:sz w:val="21"/>
                <w:szCs w:val="21"/>
                <w:lang w:val="en-US" w:eastAsia="zh-CN"/>
              </w:rPr>
              <w:t>Q：</w:t>
            </w:r>
            <w:r>
              <w:rPr>
                <w:rFonts w:hint="eastAsia" w:ascii="宋体" w:hAnsi="宋体" w:cs="Arial"/>
                <w:color w:val="auto"/>
                <w:sz w:val="21"/>
                <w:szCs w:val="21"/>
              </w:rPr>
              <w:t>8.5.2</w:t>
            </w:r>
            <w:r>
              <w:rPr>
                <w:rFonts w:hint="eastAsia" w:ascii="宋体" w:hAnsi="宋体" w:cs="Arial"/>
                <w:color w:val="auto"/>
                <w:sz w:val="21"/>
                <w:szCs w:val="21"/>
                <w:lang w:eastAsia="zh-CN"/>
              </w:rPr>
              <w:t>、</w:t>
            </w:r>
            <w:r>
              <w:rPr>
                <w:rFonts w:hint="eastAsia" w:ascii="宋体" w:hAnsi="宋体" w:cs="Arial"/>
                <w:color w:val="auto"/>
                <w:sz w:val="21"/>
                <w:szCs w:val="21"/>
              </w:rPr>
              <w:t>8.5.3</w:t>
            </w:r>
            <w:r>
              <w:rPr>
                <w:rFonts w:hint="eastAsia" w:ascii="宋体" w:hAnsi="宋体" w:cs="Arial"/>
                <w:color w:val="auto"/>
                <w:sz w:val="21"/>
                <w:szCs w:val="21"/>
                <w:lang w:eastAsia="zh-CN"/>
              </w:rPr>
              <w:t>、</w:t>
            </w:r>
            <w:r>
              <w:rPr>
                <w:rFonts w:hint="eastAsia" w:ascii="宋体" w:hAnsi="宋体" w:cs="Arial"/>
                <w:color w:val="auto"/>
                <w:sz w:val="21"/>
                <w:szCs w:val="21"/>
              </w:rPr>
              <w:t>8.5.4</w:t>
            </w:r>
            <w:r>
              <w:rPr>
                <w:rFonts w:hint="eastAsia" w:ascii="宋体" w:hAnsi="宋体" w:cs="Arial"/>
                <w:color w:val="auto"/>
                <w:sz w:val="21"/>
                <w:szCs w:val="21"/>
                <w:lang w:eastAsia="zh-CN"/>
              </w:rPr>
              <w:t>、</w:t>
            </w:r>
            <w:r>
              <w:rPr>
                <w:rFonts w:hint="eastAsia" w:ascii="宋体" w:hAnsi="宋体" w:cs="Arial"/>
                <w:color w:val="auto"/>
                <w:sz w:val="21"/>
                <w:szCs w:val="21"/>
              </w:rPr>
              <w:t>8.5.5</w:t>
            </w:r>
            <w:r>
              <w:rPr>
                <w:rFonts w:hint="eastAsia" w:ascii="宋体" w:hAnsi="宋体" w:cs="Arial"/>
                <w:color w:val="auto"/>
                <w:sz w:val="21"/>
                <w:szCs w:val="21"/>
                <w:lang w:eastAsia="zh-CN"/>
              </w:rPr>
              <w:t>、</w:t>
            </w:r>
            <w:r>
              <w:rPr>
                <w:rFonts w:hint="eastAsia" w:ascii="宋体" w:hAnsi="宋体" w:cs="Arial"/>
                <w:color w:val="auto"/>
                <w:sz w:val="21"/>
                <w:szCs w:val="21"/>
              </w:rPr>
              <w:t>8.5.</w:t>
            </w:r>
            <w:r>
              <w:rPr>
                <w:rFonts w:hint="eastAsia" w:ascii="宋体" w:hAnsi="宋体" w:cs="Arial"/>
                <w:color w:val="auto"/>
                <w:sz w:val="21"/>
                <w:szCs w:val="21"/>
                <w:lang w:val="en-US" w:eastAsia="zh-CN"/>
              </w:rPr>
              <w:t>6</w:t>
            </w:r>
          </w:p>
        </w:tc>
        <w:tc>
          <w:tcPr>
            <w:tcW w:w="732"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173" w:type="dxa"/>
            <w:vAlign w:val="top"/>
          </w:tcPr>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cs="宋体"/>
                <w:kern w:val="2"/>
                <w:sz w:val="24"/>
                <w:szCs w:val="24"/>
                <w:lang w:val="en-US" w:eastAsia="zh-CN" w:bidi="ar-SA"/>
              </w:rPr>
            </w:pPr>
            <w:r>
              <w:rPr>
                <w:rFonts w:hint="eastAsia" w:ascii="楷体" w:hAnsi="楷体" w:eastAsia="楷体"/>
                <w:sz w:val="24"/>
                <w:szCs w:val="24"/>
              </w:rPr>
              <w:t>标识和可追溯</w:t>
            </w:r>
          </w:p>
        </w:tc>
        <w:tc>
          <w:tcPr>
            <w:tcW w:w="965" w:type="dxa"/>
            <w:vAlign w:val="top"/>
          </w:tcPr>
          <w:p>
            <w:pPr>
              <w:spacing w:line="360" w:lineRule="auto"/>
              <w:rPr>
                <w:rFonts w:ascii="楷体" w:hAnsi="楷体" w:eastAsia="楷体" w:cs="宋体"/>
                <w:b/>
                <w:bCs/>
                <w:sz w:val="24"/>
                <w:szCs w:val="24"/>
              </w:rPr>
            </w:pPr>
          </w:p>
          <w:p>
            <w:pPr>
              <w:spacing w:line="360" w:lineRule="auto"/>
              <w:rPr>
                <w:rFonts w:ascii="楷体" w:hAnsi="楷体" w:eastAsia="楷体" w:cs="宋体"/>
                <w:b/>
                <w:bCs/>
                <w:sz w:val="24"/>
                <w:szCs w:val="24"/>
              </w:rPr>
            </w:pPr>
          </w:p>
          <w:p>
            <w:pPr>
              <w:spacing w:line="360" w:lineRule="auto"/>
              <w:rPr>
                <w:rFonts w:ascii="楷体" w:hAnsi="楷体" w:eastAsia="楷体" w:cs="宋体"/>
                <w:b/>
                <w:bCs/>
                <w:sz w:val="24"/>
                <w:szCs w:val="24"/>
              </w:rPr>
            </w:pPr>
          </w:p>
          <w:p>
            <w:pPr>
              <w:spacing w:line="360" w:lineRule="auto"/>
              <w:rPr>
                <w:rFonts w:hint="eastAsia" w:ascii="楷体" w:hAnsi="楷体" w:eastAsia="楷体" w:cs="Times New Roman"/>
                <w:sz w:val="24"/>
                <w:szCs w:val="24"/>
              </w:rPr>
            </w:pPr>
            <w:r>
              <w:rPr>
                <w:rFonts w:hint="eastAsia" w:ascii="楷体" w:hAnsi="楷体" w:eastAsia="楷体" w:cs="Times New Roman"/>
                <w:sz w:val="24"/>
                <w:szCs w:val="24"/>
              </w:rPr>
              <w:t>Q8.5.2</w:t>
            </w:r>
          </w:p>
          <w:p>
            <w:pPr>
              <w:spacing w:line="360" w:lineRule="auto"/>
              <w:rPr>
                <w:rFonts w:hint="eastAsia" w:ascii="楷体" w:hAnsi="楷体" w:eastAsia="楷体" w:cs="宋体"/>
                <w:b/>
                <w:kern w:val="2"/>
                <w:sz w:val="24"/>
                <w:szCs w:val="24"/>
                <w:lang w:val="en-US" w:eastAsia="zh-CN" w:bidi="ar-SA"/>
              </w:rPr>
            </w:pPr>
          </w:p>
        </w:tc>
        <w:tc>
          <w:tcPr>
            <w:tcW w:w="10927" w:type="dxa"/>
            <w:vAlign w:val="top"/>
          </w:tcPr>
          <w:p>
            <w:pPr>
              <w:pStyle w:val="27"/>
              <w:spacing w:line="240" w:lineRule="auto"/>
              <w:jc w:val="both"/>
              <w:rPr>
                <w:rFonts w:hint="eastAsia" w:ascii="宋体" w:hAnsi="宋体" w:eastAsia="宋体" w:cs="宋体"/>
                <w:sz w:val="21"/>
                <w:szCs w:val="21"/>
              </w:rPr>
            </w:pPr>
            <w:r>
              <w:rPr>
                <w:rFonts w:hint="eastAsia" w:ascii="宋体" w:hAnsi="宋体" w:eastAsia="宋体" w:cs="宋体"/>
                <w:sz w:val="21"/>
                <w:szCs w:val="21"/>
              </w:rPr>
              <w:t>制定了《样品管理程序》样品的运输、接收、发放、标识、流转、保护、存储、保留及处理，以充分保护样品的完整性，保护委托双方的利益。</w:t>
            </w:r>
            <w:bookmarkStart w:id="0" w:name="_GoBack"/>
            <w:bookmarkEnd w:id="0"/>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为防止样品在管理上发生混淆，本公司建立了样品标识系统，标示系统由质量负责人制定，对于样品进行唯一性标识，根据样品所处的不同状态，分为“待检”、“在检”、“已检”和“留样”。样品标识存在于样品接收、下发、校准/检测/检定和留样保存等各个环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服务</w:t>
            </w:r>
            <w:r>
              <w:rPr>
                <w:rFonts w:hint="eastAsia" w:ascii="宋体" w:hAnsi="宋体" w:eastAsia="宋体" w:cs="宋体"/>
                <w:sz w:val="21"/>
                <w:szCs w:val="21"/>
              </w:rPr>
              <w:t>标识主要通过划分区域、检验记录等进行标识，状态标识分为</w:t>
            </w:r>
            <w:r>
              <w:rPr>
                <w:rFonts w:hint="eastAsia" w:ascii="宋体" w:hAnsi="宋体" w:eastAsia="宋体" w:cs="宋体"/>
                <w:sz w:val="21"/>
                <w:szCs w:val="21"/>
                <w:lang w:val="en-US" w:eastAsia="zh-CN"/>
              </w:rPr>
              <w:t>已检</w:t>
            </w:r>
            <w:r>
              <w:rPr>
                <w:rFonts w:hint="eastAsia" w:ascii="宋体" w:hAnsi="宋体" w:eastAsia="宋体" w:cs="宋体"/>
                <w:sz w:val="21"/>
                <w:szCs w:val="21"/>
              </w:rPr>
              <w:t>、待检等，</w:t>
            </w:r>
            <w:r>
              <w:rPr>
                <w:rFonts w:hint="eastAsia" w:ascii="宋体" w:hAnsi="宋体" w:eastAsia="宋体" w:cs="宋体"/>
                <w:sz w:val="21"/>
                <w:szCs w:val="21"/>
                <w:lang w:val="en-US" w:eastAsia="zh-CN"/>
              </w:rPr>
              <w:t>检测</w:t>
            </w:r>
            <w:r>
              <w:rPr>
                <w:rFonts w:hint="eastAsia" w:ascii="宋体" w:hAnsi="宋体" w:eastAsia="宋体" w:cs="宋体"/>
                <w:sz w:val="21"/>
                <w:szCs w:val="21"/>
              </w:rPr>
              <w:t>过程中和监视和测量过程中有采取适当的方式对检验状态</w:t>
            </w:r>
            <w:r>
              <w:rPr>
                <w:rFonts w:hint="eastAsia" w:ascii="宋体" w:hAnsi="宋体" w:eastAsia="宋体" w:cs="宋体"/>
                <w:sz w:val="21"/>
                <w:szCs w:val="21"/>
                <w:lang w:val="en-US" w:eastAsia="zh-CN"/>
              </w:rPr>
              <w:t>贴标识</w:t>
            </w:r>
            <w:r>
              <w:rPr>
                <w:rFonts w:hint="eastAsia" w:ascii="宋体" w:hAnsi="宋体" w:eastAsia="宋体" w:cs="宋体"/>
                <w:sz w:val="21"/>
                <w:szCs w:val="21"/>
              </w:rPr>
              <w:t>，标识确保唯一性，当有追溯性要求时，可确保在必要时进行追溯。</w:t>
            </w:r>
          </w:p>
          <w:p>
            <w:pPr>
              <w:spacing w:line="240" w:lineRule="auto"/>
              <w:ind w:firstLine="420" w:firstLineChars="200"/>
              <w:rPr>
                <w:rFonts w:hint="eastAsia"/>
              </w:rPr>
            </w:pPr>
            <w:r>
              <w:rPr>
                <w:rFonts w:hint="eastAsia" w:ascii="宋体" w:hAnsi="宋体" w:eastAsia="宋体" w:cs="宋体"/>
                <w:sz w:val="21"/>
                <w:szCs w:val="21"/>
                <w:lang w:val="en-US" w:eastAsia="zh-CN"/>
              </w:rPr>
              <w:t>检测配件</w:t>
            </w:r>
            <w:r>
              <w:rPr>
                <w:rFonts w:hint="eastAsia" w:ascii="宋体" w:hAnsi="宋体" w:eastAsia="宋体" w:cs="宋体"/>
                <w:sz w:val="21"/>
                <w:szCs w:val="21"/>
              </w:rPr>
              <w:t>分类分区放置在指定仓库、产品标识方法得当、未发现不同类型和状态产品发生混淆现象。标识和可追溯性基本符合标准要求</w:t>
            </w:r>
            <w:r>
              <w:rPr>
                <w:rFonts w:hint="eastAsia"/>
              </w:rPr>
              <w:t>。</w:t>
            </w:r>
          </w:p>
          <w:p>
            <w:pPr>
              <w:pStyle w:val="2"/>
              <w:tabs>
                <w:tab w:val="left" w:pos="3510"/>
                <w:tab w:val="left" w:pos="3585"/>
                <w:tab w:val="center" w:pos="4410"/>
                <w:tab w:val="left" w:pos="4620"/>
                <w:tab w:val="left" w:pos="4830"/>
                <w:tab w:val="left" w:pos="5580"/>
              </w:tabs>
              <w:rPr>
                <w:rFonts w:hint="eastAsia"/>
              </w:rPr>
            </w:pPr>
            <w:r>
              <w:rPr>
                <w:rFonts w:hint="eastAsia" w:ascii="宋体" w:hAnsi="宋体" w:eastAsia="宋体" w:cs="宋体"/>
                <w:sz w:val="21"/>
                <w:szCs w:val="21"/>
                <w:lang w:eastAsia="zh-CN"/>
              </w:rPr>
              <w:drawing>
                <wp:anchor distT="0" distB="0" distL="114300" distR="114300" simplePos="0" relativeHeight="251662336" behindDoc="0" locked="0" layoutInCell="1" allowOverlap="1">
                  <wp:simplePos x="0" y="0"/>
                  <wp:positionH relativeFrom="column">
                    <wp:posOffset>4102735</wp:posOffset>
                  </wp:positionH>
                  <wp:positionV relativeFrom="paragraph">
                    <wp:posOffset>53340</wp:posOffset>
                  </wp:positionV>
                  <wp:extent cx="1766570" cy="2079625"/>
                  <wp:effectExtent l="0" t="0" r="11430" b="3175"/>
                  <wp:wrapNone/>
                  <wp:docPr id="4" name="图片 4" descr="d09963cdc2f2526b7ac7ad1cc6ff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09963cdc2f2526b7ac7ad1cc6ff277"/>
                          <pic:cNvPicPr>
                            <a:picLocks noChangeAspect="1"/>
                          </pic:cNvPicPr>
                        </pic:nvPicPr>
                        <pic:blipFill>
                          <a:blip r:embed="rId6"/>
                          <a:srcRect l="26398" r="20691" b="16971"/>
                          <a:stretch>
                            <a:fillRect/>
                          </a:stretch>
                        </pic:blipFill>
                        <pic:spPr>
                          <a:xfrm>
                            <a:off x="0" y="0"/>
                            <a:ext cx="1766570" cy="2079625"/>
                          </a:xfrm>
                          <a:prstGeom prst="rect">
                            <a:avLst/>
                          </a:prstGeom>
                          <a:noFill/>
                          <a:ln>
                            <a:noFill/>
                          </a:ln>
                        </pic:spPr>
                      </pic:pic>
                    </a:graphicData>
                  </a:graphic>
                </wp:anchor>
              </w:drawing>
            </w:r>
            <w:r>
              <w:rPr>
                <w:rFonts w:hint="eastAsia" w:ascii="宋体" w:hAnsi="宋体" w:eastAsia="宋体" w:cs="宋体"/>
                <w:sz w:val="21"/>
                <w:szCs w:val="21"/>
                <w:lang w:eastAsia="zh-CN"/>
              </w:rPr>
              <w:drawing>
                <wp:anchor distT="0" distB="0" distL="114300" distR="114300" simplePos="0" relativeHeight="251661312" behindDoc="0" locked="0" layoutInCell="1" allowOverlap="1">
                  <wp:simplePos x="0" y="0"/>
                  <wp:positionH relativeFrom="column">
                    <wp:posOffset>657225</wp:posOffset>
                  </wp:positionH>
                  <wp:positionV relativeFrom="paragraph">
                    <wp:posOffset>100330</wp:posOffset>
                  </wp:positionV>
                  <wp:extent cx="3159125" cy="2037715"/>
                  <wp:effectExtent l="0" t="0" r="3175" b="6985"/>
                  <wp:wrapNone/>
                  <wp:docPr id="5" name="图片 5" descr="96731fbb1f33b7834b146230703d0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731fbb1f33b7834b146230703d03f"/>
                          <pic:cNvPicPr>
                            <a:picLocks noChangeAspect="1"/>
                          </pic:cNvPicPr>
                        </pic:nvPicPr>
                        <pic:blipFill>
                          <a:blip r:embed="rId7"/>
                          <a:srcRect l="45956" t="26141" r="6117" b="32635"/>
                          <a:stretch>
                            <a:fillRect/>
                          </a:stretch>
                        </pic:blipFill>
                        <pic:spPr>
                          <a:xfrm>
                            <a:off x="0" y="0"/>
                            <a:ext cx="3159125" cy="2037715"/>
                          </a:xfrm>
                          <a:prstGeom prst="rect">
                            <a:avLst/>
                          </a:prstGeom>
                          <a:noFill/>
                          <a:ln>
                            <a:noFill/>
                          </a:ln>
                        </pic:spPr>
                      </pic:pic>
                    </a:graphicData>
                  </a:graphic>
                </wp:anchor>
              </w:drawing>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ind w:left="0" w:leftChars="0" w:firstLine="0" w:firstLineChars="0"/>
              <w:rPr>
                <w:rFonts w:hint="eastAsia" w:ascii="Times New Roman" w:hAnsi="Times New Roman" w:eastAsia="宋体" w:cs="Times New Roman"/>
                <w:kern w:val="0"/>
                <w:sz w:val="21"/>
                <w:lang w:val="en-US" w:eastAsia="zh-CN" w:bidi="ar-SA"/>
              </w:rPr>
            </w:pPr>
          </w:p>
        </w:tc>
        <w:tc>
          <w:tcPr>
            <w:tcW w:w="732"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top"/>
          </w:tcPr>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cs="宋体"/>
                <w:kern w:val="2"/>
                <w:sz w:val="24"/>
                <w:szCs w:val="24"/>
                <w:lang w:val="en-US" w:eastAsia="zh-CN" w:bidi="ar-SA"/>
              </w:rPr>
            </w:pPr>
            <w:r>
              <w:rPr>
                <w:rFonts w:hint="eastAsia" w:ascii="楷体" w:hAnsi="楷体" w:eastAsia="楷体"/>
                <w:sz w:val="24"/>
                <w:szCs w:val="24"/>
                <w:lang w:val="en-US" w:eastAsia="zh-CN"/>
              </w:rPr>
              <w:t>顾客或外部供方的财产</w:t>
            </w:r>
            <w:r>
              <w:rPr>
                <w:rFonts w:ascii="楷体" w:hAnsi="楷体" w:eastAsia="楷体"/>
                <w:sz w:val="24"/>
                <w:szCs w:val="24"/>
              </w:rPr>
              <w:t>/</w:t>
            </w:r>
            <w:r>
              <w:rPr>
                <w:rFonts w:hint="eastAsia" w:ascii="楷体" w:hAnsi="楷体" w:eastAsia="楷体"/>
                <w:sz w:val="24"/>
                <w:szCs w:val="24"/>
              </w:rPr>
              <w:t>产品防护</w:t>
            </w:r>
          </w:p>
        </w:tc>
        <w:tc>
          <w:tcPr>
            <w:tcW w:w="965" w:type="dxa"/>
            <w:vAlign w:val="top"/>
          </w:tcPr>
          <w:p>
            <w:pPr>
              <w:pStyle w:val="2"/>
              <w:tabs>
                <w:tab w:val="left" w:pos="3510"/>
                <w:tab w:val="left" w:pos="3585"/>
                <w:tab w:val="center" w:pos="4410"/>
                <w:tab w:val="left" w:pos="4620"/>
                <w:tab w:val="left" w:pos="4830"/>
                <w:tab w:val="left" w:pos="5580"/>
              </w:tabs>
              <w:rPr>
                <w:rFonts w:ascii="楷体" w:hAnsi="楷体" w:eastAsia="楷体" w:cs="宋体"/>
                <w:b/>
                <w:bCs/>
                <w:sz w:val="24"/>
                <w:szCs w:val="24"/>
              </w:rPr>
            </w:pPr>
          </w:p>
          <w:p>
            <w:pPr>
              <w:pStyle w:val="2"/>
              <w:tabs>
                <w:tab w:val="left" w:pos="3510"/>
                <w:tab w:val="left" w:pos="3585"/>
                <w:tab w:val="center" w:pos="4410"/>
                <w:tab w:val="left" w:pos="4620"/>
                <w:tab w:val="left" w:pos="4830"/>
                <w:tab w:val="left" w:pos="5580"/>
              </w:tabs>
              <w:rPr>
                <w:rFonts w:ascii="楷体" w:hAnsi="楷体" w:eastAsia="楷体" w:cs="宋体"/>
                <w:b/>
                <w:bCs/>
                <w:sz w:val="24"/>
                <w:szCs w:val="24"/>
              </w:rPr>
            </w:pPr>
          </w:p>
          <w:p>
            <w:pPr>
              <w:pStyle w:val="2"/>
              <w:tabs>
                <w:tab w:val="left" w:pos="3510"/>
                <w:tab w:val="left" w:pos="3585"/>
                <w:tab w:val="center" w:pos="4410"/>
                <w:tab w:val="left" w:pos="4620"/>
                <w:tab w:val="left" w:pos="4830"/>
                <w:tab w:val="left" w:pos="5580"/>
              </w:tabs>
              <w:rPr>
                <w:rFonts w:ascii="楷体" w:hAnsi="楷体" w:eastAsia="楷体" w:cs="宋体"/>
                <w:b/>
                <w:bCs/>
                <w:sz w:val="24"/>
                <w:szCs w:val="24"/>
              </w:rPr>
            </w:pPr>
          </w:p>
          <w:p>
            <w:pPr>
              <w:spacing w:line="360" w:lineRule="auto"/>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Q8.5.3</w:t>
            </w:r>
          </w:p>
          <w:p>
            <w:pPr>
              <w:spacing w:line="360" w:lineRule="auto"/>
              <w:rPr>
                <w:rFonts w:hint="eastAsia" w:ascii="楷体" w:hAnsi="楷体" w:eastAsia="楷体" w:cs="宋体"/>
                <w:kern w:val="2"/>
                <w:sz w:val="24"/>
                <w:szCs w:val="24"/>
                <w:lang w:val="en-US" w:eastAsia="zh-CN" w:bidi="ar-SA"/>
              </w:rPr>
            </w:pPr>
            <w:r>
              <w:rPr>
                <w:rFonts w:hint="eastAsia" w:ascii="楷体" w:hAnsi="楷体" w:eastAsia="楷体" w:cs="Times New Roman"/>
                <w:sz w:val="24"/>
                <w:szCs w:val="24"/>
                <w:lang w:val="en-US" w:eastAsia="zh-CN"/>
              </w:rPr>
              <w:t>Q8.5.4</w:t>
            </w:r>
          </w:p>
        </w:tc>
        <w:tc>
          <w:tcPr>
            <w:tcW w:w="10927" w:type="dxa"/>
            <w:vAlign w:val="top"/>
          </w:tcPr>
          <w:p>
            <w:pPr>
              <w:spacing w:line="360" w:lineRule="auto"/>
              <w:ind w:firstLine="420" w:firstLineChars="200"/>
              <w:rPr>
                <w:rFonts w:hint="eastAsia"/>
              </w:rPr>
            </w:pPr>
            <w:r>
              <w:rPr>
                <w:rFonts w:hint="eastAsia"/>
                <w:lang w:eastAsia="zh-CN"/>
              </w:rPr>
              <w:drawing>
                <wp:anchor distT="0" distB="0" distL="114300" distR="114300" simplePos="0" relativeHeight="251663360" behindDoc="0" locked="0" layoutInCell="1" allowOverlap="1">
                  <wp:simplePos x="0" y="0"/>
                  <wp:positionH relativeFrom="column">
                    <wp:posOffset>3244850</wp:posOffset>
                  </wp:positionH>
                  <wp:positionV relativeFrom="paragraph">
                    <wp:posOffset>581660</wp:posOffset>
                  </wp:positionV>
                  <wp:extent cx="3314700" cy="1864995"/>
                  <wp:effectExtent l="0" t="0" r="0" b="1905"/>
                  <wp:wrapNone/>
                  <wp:docPr id="8" name="图片 4" descr="c454a2554f7911576bad1e8417479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454a2554f7911576bad1e8417479b4"/>
                          <pic:cNvPicPr>
                            <a:picLocks noChangeAspect="1"/>
                          </pic:cNvPicPr>
                        </pic:nvPicPr>
                        <pic:blipFill>
                          <a:blip r:embed="rId8"/>
                          <a:stretch>
                            <a:fillRect/>
                          </a:stretch>
                        </pic:blipFill>
                        <pic:spPr>
                          <a:xfrm>
                            <a:off x="0" y="0"/>
                            <a:ext cx="3314700" cy="1864995"/>
                          </a:xfrm>
                          <a:prstGeom prst="rect">
                            <a:avLst/>
                          </a:prstGeom>
                          <a:noFill/>
                          <a:ln>
                            <a:noFill/>
                          </a:ln>
                        </pic:spPr>
                      </pic:pic>
                    </a:graphicData>
                  </a:graphic>
                </wp:anchor>
              </w:drawing>
            </w:r>
            <w:r>
              <w:rPr>
                <w:rFonts w:hint="eastAsia"/>
                <w:lang w:val="en-US" w:eastAsia="zh-CN"/>
              </w:rPr>
              <w:t>检测</w:t>
            </w:r>
            <w:r>
              <w:rPr>
                <w:rFonts w:hint="eastAsia"/>
              </w:rPr>
              <w:t>过程中有采取相应的措施进行防护，以确保符合要求。防护包括标识、处置、污染控制、包装、储存、运输以及保护等。</w:t>
            </w:r>
          </w:p>
          <w:p>
            <w:pPr>
              <w:pStyle w:val="6"/>
              <w:rPr>
                <w:rFonts w:hint="eastAsia"/>
              </w:rPr>
            </w:pPr>
            <w:r>
              <w:rPr>
                <w:rFonts w:hint="eastAsia"/>
                <w:lang w:eastAsia="zh-CN"/>
              </w:rPr>
              <w:drawing>
                <wp:anchor distT="0" distB="0" distL="114300" distR="114300" simplePos="0" relativeHeight="251664384" behindDoc="0" locked="0" layoutInCell="1" allowOverlap="1">
                  <wp:simplePos x="0" y="0"/>
                  <wp:positionH relativeFrom="column">
                    <wp:posOffset>768985</wp:posOffset>
                  </wp:positionH>
                  <wp:positionV relativeFrom="paragraph">
                    <wp:posOffset>-271145</wp:posOffset>
                  </wp:positionV>
                  <wp:extent cx="1753870" cy="2409825"/>
                  <wp:effectExtent l="0" t="0" r="3175" b="11430"/>
                  <wp:wrapNone/>
                  <wp:docPr id="9" name="图片 5" descr="765426798b9eab9354e14ea82b69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765426798b9eab9354e14ea82b69e94"/>
                          <pic:cNvPicPr>
                            <a:picLocks noChangeAspect="1"/>
                          </pic:cNvPicPr>
                        </pic:nvPicPr>
                        <pic:blipFill>
                          <a:blip r:embed="rId9"/>
                          <a:srcRect l="19858" t="23482" b="14604"/>
                          <a:stretch>
                            <a:fillRect/>
                          </a:stretch>
                        </pic:blipFill>
                        <pic:spPr>
                          <a:xfrm rot="-5400000">
                            <a:off x="0" y="0"/>
                            <a:ext cx="1753870" cy="2409825"/>
                          </a:xfrm>
                          <a:prstGeom prst="rect">
                            <a:avLst/>
                          </a:prstGeom>
                          <a:noFill/>
                          <a:ln>
                            <a:noFill/>
                          </a:ln>
                        </pic:spPr>
                      </pic:pic>
                    </a:graphicData>
                  </a:graphic>
                </wp:anchor>
              </w:drawing>
            </w:r>
          </w:p>
          <w:p>
            <w:pPr>
              <w:pStyle w:val="6"/>
              <w:rPr>
                <w:rFonts w:hint="eastAsia"/>
              </w:rPr>
            </w:pPr>
          </w:p>
          <w:p>
            <w:pPr>
              <w:pStyle w:val="6"/>
              <w:rPr>
                <w:rFonts w:hint="eastAsia"/>
                <w:lang w:eastAsia="zh-CN"/>
              </w:rPr>
            </w:pPr>
          </w:p>
          <w:p>
            <w:pPr>
              <w:pStyle w:val="6"/>
              <w:rPr>
                <w:rFonts w:hint="eastAsia"/>
              </w:rPr>
            </w:pPr>
          </w:p>
          <w:p>
            <w:pPr>
              <w:pStyle w:val="6"/>
              <w:rPr>
                <w:rFonts w:hint="eastAsia"/>
                <w:lang w:eastAsia="zh-CN"/>
              </w:rPr>
            </w:pPr>
          </w:p>
          <w:p>
            <w:pPr>
              <w:pStyle w:val="6"/>
              <w:rPr>
                <w:rFonts w:hint="eastAsia"/>
              </w:rPr>
            </w:pPr>
          </w:p>
          <w:p>
            <w:pPr>
              <w:pStyle w:val="6"/>
              <w:rPr>
                <w:rFonts w:hint="eastAsia"/>
                <w:lang w:val="en-US" w:eastAsia="zh-CN"/>
              </w:rPr>
            </w:pPr>
          </w:p>
          <w:p>
            <w:pPr>
              <w:pStyle w:val="7"/>
              <w:rPr>
                <w:rFonts w:hint="eastAsia"/>
                <w:lang w:val="en-US" w:eastAsia="zh-CN"/>
              </w:rPr>
            </w:pPr>
          </w:p>
          <w:p>
            <w:pPr>
              <w:pStyle w:val="9"/>
              <w:rPr>
                <w:rFonts w:hint="eastAsia"/>
                <w:lang w:val="en-US" w:eastAsia="zh-CN"/>
              </w:rPr>
            </w:pPr>
          </w:p>
          <w:p>
            <w:pPr>
              <w:rPr>
                <w:rFonts w:hint="eastAsia"/>
                <w:lang w:val="en-US" w:eastAsia="zh-CN"/>
              </w:rPr>
            </w:pPr>
          </w:p>
        </w:tc>
        <w:tc>
          <w:tcPr>
            <w:tcW w:w="732"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交付后的活动</w:t>
            </w:r>
          </w:p>
        </w:tc>
        <w:tc>
          <w:tcPr>
            <w:tcW w:w="965" w:type="dxa"/>
            <w:vAlign w:val="top"/>
          </w:tcPr>
          <w:p>
            <w:pPr>
              <w:spacing w:line="360" w:lineRule="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8.5.5</w:t>
            </w:r>
            <w:r>
              <w:rPr>
                <w:rFonts w:hint="eastAsia" w:ascii="宋体" w:hAnsi="宋体" w:eastAsia="宋体" w:cs="宋体"/>
                <w:bCs/>
                <w:sz w:val="24"/>
                <w:szCs w:val="24"/>
              </w:rPr>
              <w:t xml:space="preserve"> </w:t>
            </w:r>
          </w:p>
        </w:tc>
        <w:tc>
          <w:tcPr>
            <w:tcW w:w="10927" w:type="dxa"/>
            <w:vAlign w:val="center"/>
          </w:tcPr>
          <w:p>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与客户业务负责人进行沟通：组织通过与客户签订合同的形式对交付后的活动进行规定；内容包括了：法律法规要求，交付后不合格的处理，产品的用途，顾客的要求等；</w:t>
            </w:r>
          </w:p>
          <w:p>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暂无交付后违反法律法规要求、违法合同要求、严重客户投诉的情况，据负责人介绍如以后有会收到客户投诉通过邮件或者会议将信息传递给相关过程/部门。</w:t>
            </w:r>
          </w:p>
          <w:p>
            <w:pPr>
              <w:spacing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TW"/>
              </w:rPr>
              <w:t xml:space="preserve">   基本满足要求。</w:t>
            </w:r>
          </w:p>
        </w:tc>
        <w:tc>
          <w:tcPr>
            <w:tcW w:w="732"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top"/>
          </w:tcPr>
          <w:p>
            <w:pPr>
              <w:rPr>
                <w:rFonts w:hint="eastAsia" w:ascii="楷体" w:hAnsi="楷体" w:eastAsia="楷体" w:cs="宋体"/>
                <w:sz w:val="24"/>
                <w:szCs w:val="24"/>
              </w:rPr>
            </w:pPr>
          </w:p>
          <w:p>
            <w:pPr>
              <w:rPr>
                <w:rFonts w:ascii="楷体" w:hAnsi="楷体" w:eastAsia="楷体" w:cs="宋体"/>
                <w:sz w:val="24"/>
                <w:szCs w:val="24"/>
              </w:rPr>
            </w:pPr>
            <w:r>
              <w:rPr>
                <w:rFonts w:hint="eastAsia" w:ascii="楷体" w:hAnsi="楷体" w:eastAsia="楷体" w:cs="宋体"/>
                <w:sz w:val="24"/>
                <w:szCs w:val="24"/>
              </w:rPr>
              <w:t>更改的控制</w:t>
            </w:r>
          </w:p>
          <w:p>
            <w:pPr>
              <w:rPr>
                <w:rFonts w:hint="eastAsia" w:ascii="楷体" w:hAnsi="楷体" w:eastAsia="楷体" w:cs="宋体"/>
                <w:kern w:val="2"/>
                <w:sz w:val="24"/>
                <w:szCs w:val="24"/>
                <w:lang w:val="en-US" w:eastAsia="zh-CN" w:bidi="ar-SA"/>
              </w:rPr>
            </w:pPr>
          </w:p>
        </w:tc>
        <w:tc>
          <w:tcPr>
            <w:tcW w:w="965" w:type="dxa"/>
            <w:vAlign w:val="top"/>
          </w:tcPr>
          <w:p>
            <w:pPr>
              <w:rPr>
                <w:rFonts w:ascii="楷体" w:hAnsi="楷体" w:eastAsia="楷体" w:cs="宋体"/>
                <w:sz w:val="24"/>
                <w:szCs w:val="24"/>
              </w:rPr>
            </w:pPr>
          </w:p>
          <w:p>
            <w:pPr>
              <w:rPr>
                <w:rFonts w:hint="eastAsia" w:ascii="楷体" w:hAnsi="楷体" w:eastAsia="楷体" w:cs="宋体"/>
                <w:kern w:val="2"/>
                <w:sz w:val="24"/>
                <w:szCs w:val="24"/>
                <w:lang w:val="en-US" w:eastAsia="zh-CN" w:bidi="ar-SA"/>
              </w:rPr>
            </w:pPr>
            <w:r>
              <w:rPr>
                <w:rFonts w:ascii="楷体" w:hAnsi="楷体" w:eastAsia="楷体" w:cs="宋体"/>
                <w:sz w:val="24"/>
                <w:szCs w:val="24"/>
              </w:rPr>
              <w:t>Q8.5.6</w:t>
            </w:r>
          </w:p>
        </w:tc>
        <w:tc>
          <w:tcPr>
            <w:tcW w:w="10927"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检测</w:t>
            </w:r>
            <w:r>
              <w:rPr>
                <w:rFonts w:hint="eastAsia" w:ascii="宋体" w:hAnsi="宋体" w:eastAsia="宋体" w:cs="宋体"/>
                <w:sz w:val="21"/>
                <w:szCs w:val="21"/>
              </w:rPr>
              <w:t>服务提供的更改进行必要的评审和控制，以确保稳定的符合要求。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组织保留形成文件的信息，包括有关更改评审结果、授权进行更改的人员以及根据评审所采取的必要措施。</w:t>
            </w:r>
          </w:p>
          <w:p>
            <w:pPr>
              <w:spacing w:line="360" w:lineRule="auto"/>
              <w:rPr>
                <w:rFonts w:hint="eastAsia" w:ascii="楷体" w:hAnsi="楷体" w:eastAsia="楷体" w:cs="宋体"/>
                <w:kern w:val="2"/>
                <w:sz w:val="24"/>
                <w:szCs w:val="24"/>
                <w:lang w:val="en-US" w:eastAsia="zh-CN" w:bidi="ar-SA"/>
              </w:rPr>
            </w:pPr>
            <w:r>
              <w:rPr>
                <w:rFonts w:hint="eastAsia" w:ascii="宋体" w:hAnsi="宋体" w:eastAsia="宋体" w:cs="宋体"/>
                <w:sz w:val="21"/>
                <w:szCs w:val="21"/>
              </w:rPr>
              <w:t>经询问，目前无</w:t>
            </w:r>
            <w:r>
              <w:rPr>
                <w:rFonts w:hint="eastAsia" w:ascii="宋体" w:hAnsi="宋体" w:eastAsia="宋体" w:cs="宋体"/>
                <w:sz w:val="21"/>
                <w:szCs w:val="21"/>
                <w:lang w:val="en-US" w:eastAsia="zh-CN"/>
              </w:rPr>
              <w:t>检测</w:t>
            </w:r>
            <w:r>
              <w:rPr>
                <w:rFonts w:hint="eastAsia" w:ascii="宋体" w:hAnsi="宋体" w:eastAsia="宋体" w:cs="宋体"/>
                <w:sz w:val="21"/>
                <w:szCs w:val="21"/>
              </w:rPr>
              <w:t>的变更。</w:t>
            </w:r>
          </w:p>
        </w:tc>
        <w:tc>
          <w:tcPr>
            <w:tcW w:w="732" w:type="dxa"/>
          </w:tcPr>
          <w:p>
            <w:pPr>
              <w:rPr>
                <w:rFonts w:hint="eastAsia" w:ascii="宋体" w:hAnsi="宋体" w:eastAsia="宋体" w:cs="宋体"/>
                <w:sz w:val="21"/>
                <w:szCs w:val="21"/>
              </w:rPr>
            </w:pPr>
          </w:p>
        </w:tc>
      </w:tr>
    </w:tbl>
    <w:p>
      <w:pPr>
        <w:pStyle w:val="13"/>
        <w:rPr>
          <w:rFonts w:hint="eastAsia"/>
        </w:rPr>
      </w:pPr>
    </w:p>
    <w:p>
      <w:pPr>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8910"/>
        <w:tab w:val="left" w:pos="9142"/>
        <w:tab w:val="clear" w:pos="4153"/>
      </w:tabs>
      <w:spacing w:line="320" w:lineRule="exact"/>
      <w:ind w:left="-86" w:leftChars="-41" w:firstLine="810" w:firstLineChars="450"/>
      <w:jc w:val="left"/>
      <w:rPr>
        <w:rStyle w:val="2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5"/>
        <w:rFonts w:hint="default"/>
      </w:rPr>
      <w:t>北京国标联合认证有限公司</w:t>
    </w:r>
    <w:r>
      <w:rPr>
        <w:rStyle w:val="25"/>
        <w:rFonts w:hint="default"/>
      </w:rPr>
      <w:tab/>
    </w:r>
    <w:r>
      <w:rPr>
        <w:rStyle w:val="25"/>
        <w:rFonts w:hint="default"/>
      </w:rPr>
      <w:tab/>
    </w:r>
    <w:r>
      <w:rPr>
        <w:rStyle w:val="25"/>
        <w:rFonts w:hint="default"/>
      </w:rPr>
      <w:tab/>
    </w:r>
  </w:p>
  <w:p>
    <w:pPr>
      <w:pStyle w:val="14"/>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5"/>
        <w:rFonts w:hint="default"/>
        <w:w w:val="90"/>
      </w:rPr>
      <w:t>Beijing International Standard united Certification Co.,Ltd.</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92DEA"/>
    <w:multiLevelType w:val="multilevel"/>
    <w:tmpl w:val="0DB92DEA"/>
    <w:lvl w:ilvl="0" w:tentative="0">
      <w:start w:val="1"/>
      <w:numFmt w:val="decimal"/>
      <w:suff w:val="space"/>
      <w:lvlText w:val="第%1章"/>
      <w:lvlJc w:val="left"/>
      <w:pPr>
        <w:ind w:left="0" w:firstLine="0"/>
      </w:pPr>
      <w:rPr>
        <w:rFonts w:hint="eastAsia"/>
      </w:rPr>
    </w:lvl>
    <w:lvl w:ilvl="1" w:tentative="0">
      <w:start w:val="1"/>
      <w:numFmt w:val="decimal"/>
      <w:suff w:val="space"/>
      <w:lvlText w:val="%1.%2"/>
      <w:lvlJc w:val="left"/>
      <w:pPr>
        <w:ind w:left="425" w:hanging="425"/>
      </w:pPr>
      <w:rPr>
        <w:rFonts w:hint="default" w:ascii="Calibri" w:hAnsi="Calibri" w:cs="Calibri"/>
        <w:sz w:val="32"/>
        <w:szCs w:val="32"/>
      </w:rPr>
    </w:lvl>
    <w:lvl w:ilvl="2" w:tentative="0">
      <w:start w:val="1"/>
      <w:numFmt w:val="decimal"/>
      <w:pStyle w:val="4"/>
      <w:suff w:val="space"/>
      <w:lvlText w:val="%1.%2.%3"/>
      <w:lvlJc w:val="left"/>
      <w:pPr>
        <w:ind w:left="567" w:hanging="567"/>
      </w:pPr>
      <w:rPr>
        <w:rFonts w:hint="eastAsia"/>
      </w:rPr>
    </w:lvl>
    <w:lvl w:ilvl="3" w:tentative="0">
      <w:start w:val="1"/>
      <w:numFmt w:val="decimal"/>
      <w:suff w:val="space"/>
      <w:lvlText w:val="%1.%2.%3.%4"/>
      <w:lvlJc w:val="left"/>
      <w:pPr>
        <w:ind w:left="1418" w:hanging="567"/>
      </w:pPr>
      <w:rPr>
        <w:rFonts w:hint="eastAsia"/>
        <w:b/>
      </w:rPr>
    </w:lvl>
    <w:lvl w:ilvl="4" w:tentative="0">
      <w:start w:val="1"/>
      <w:numFmt w:val="decimal"/>
      <w:suff w:val="space"/>
      <w:lvlText w:val="%1.%2.%3.%4.%5"/>
      <w:lvlJc w:val="left"/>
      <w:pPr>
        <w:ind w:left="2835" w:hanging="709"/>
      </w:pPr>
      <w:rPr>
        <w:rFonts w:hint="eastAsia"/>
      </w:rPr>
    </w:lvl>
    <w:lvl w:ilvl="5" w:tentative="0">
      <w:start w:val="1"/>
      <w:numFmt w:val="decimal"/>
      <w:suff w:val="space"/>
      <w:lvlText w:val="%1.%2.%3.%4.%5.%6"/>
      <w:lvlJc w:val="left"/>
      <w:pPr>
        <w:ind w:left="2693" w:hanging="992"/>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3905"/>
    <w:rsid w:val="007B3DAF"/>
    <w:rsid w:val="00DB72B2"/>
    <w:rsid w:val="00ED266B"/>
    <w:rsid w:val="00F43426"/>
    <w:rsid w:val="00F72ABE"/>
    <w:rsid w:val="010F4C60"/>
    <w:rsid w:val="01E3771F"/>
    <w:rsid w:val="024F1167"/>
    <w:rsid w:val="027A5C11"/>
    <w:rsid w:val="02B74B3F"/>
    <w:rsid w:val="03124185"/>
    <w:rsid w:val="03314A7D"/>
    <w:rsid w:val="03833B24"/>
    <w:rsid w:val="03971E0B"/>
    <w:rsid w:val="03BF4DF3"/>
    <w:rsid w:val="04476F14"/>
    <w:rsid w:val="0458744E"/>
    <w:rsid w:val="050D203E"/>
    <w:rsid w:val="050F7AD6"/>
    <w:rsid w:val="0515091E"/>
    <w:rsid w:val="056F513E"/>
    <w:rsid w:val="05F12FC1"/>
    <w:rsid w:val="06276BA1"/>
    <w:rsid w:val="062B104D"/>
    <w:rsid w:val="071E0BD8"/>
    <w:rsid w:val="071E5396"/>
    <w:rsid w:val="07252F75"/>
    <w:rsid w:val="07511AB9"/>
    <w:rsid w:val="077168B6"/>
    <w:rsid w:val="07760118"/>
    <w:rsid w:val="07DD4098"/>
    <w:rsid w:val="08151499"/>
    <w:rsid w:val="08193D3A"/>
    <w:rsid w:val="085F30D4"/>
    <w:rsid w:val="0872572E"/>
    <w:rsid w:val="0875081F"/>
    <w:rsid w:val="08870786"/>
    <w:rsid w:val="08F215E2"/>
    <w:rsid w:val="09296E07"/>
    <w:rsid w:val="09B01C49"/>
    <w:rsid w:val="09E31136"/>
    <w:rsid w:val="09EB1CAA"/>
    <w:rsid w:val="0A165B13"/>
    <w:rsid w:val="0A226B2B"/>
    <w:rsid w:val="0A7372D5"/>
    <w:rsid w:val="0AAD3E63"/>
    <w:rsid w:val="0ABE51AD"/>
    <w:rsid w:val="0B063520"/>
    <w:rsid w:val="0B2B563D"/>
    <w:rsid w:val="0B59105B"/>
    <w:rsid w:val="0BED6A15"/>
    <w:rsid w:val="0C1A06B5"/>
    <w:rsid w:val="0C361B65"/>
    <w:rsid w:val="0C3B40FC"/>
    <w:rsid w:val="0CE5132C"/>
    <w:rsid w:val="0D0518EE"/>
    <w:rsid w:val="0D086F79"/>
    <w:rsid w:val="0D444194"/>
    <w:rsid w:val="0D4B347F"/>
    <w:rsid w:val="0D570C8A"/>
    <w:rsid w:val="0DDC4A26"/>
    <w:rsid w:val="0E04283D"/>
    <w:rsid w:val="0F033D06"/>
    <w:rsid w:val="0F9C26D4"/>
    <w:rsid w:val="10146BF1"/>
    <w:rsid w:val="104F6DAF"/>
    <w:rsid w:val="107D501B"/>
    <w:rsid w:val="10B27CAD"/>
    <w:rsid w:val="11273C0B"/>
    <w:rsid w:val="115D74E2"/>
    <w:rsid w:val="1174748E"/>
    <w:rsid w:val="11915D99"/>
    <w:rsid w:val="11EC7CB4"/>
    <w:rsid w:val="120C44D2"/>
    <w:rsid w:val="121C34B5"/>
    <w:rsid w:val="122956EF"/>
    <w:rsid w:val="125C12A9"/>
    <w:rsid w:val="130F1D4C"/>
    <w:rsid w:val="134C3D0E"/>
    <w:rsid w:val="138C3317"/>
    <w:rsid w:val="13A84DED"/>
    <w:rsid w:val="13B66175"/>
    <w:rsid w:val="13ED22A6"/>
    <w:rsid w:val="13FB79B0"/>
    <w:rsid w:val="14013214"/>
    <w:rsid w:val="140B4438"/>
    <w:rsid w:val="14496629"/>
    <w:rsid w:val="1492636B"/>
    <w:rsid w:val="14A062F4"/>
    <w:rsid w:val="154636A6"/>
    <w:rsid w:val="163D703F"/>
    <w:rsid w:val="16D67ED2"/>
    <w:rsid w:val="16E26F0E"/>
    <w:rsid w:val="16F02E90"/>
    <w:rsid w:val="17062B69"/>
    <w:rsid w:val="175C0D34"/>
    <w:rsid w:val="17961FEA"/>
    <w:rsid w:val="17F81885"/>
    <w:rsid w:val="182164BB"/>
    <w:rsid w:val="18252AF6"/>
    <w:rsid w:val="188972CF"/>
    <w:rsid w:val="18B95C0D"/>
    <w:rsid w:val="18D068A4"/>
    <w:rsid w:val="18EC7DF4"/>
    <w:rsid w:val="19122210"/>
    <w:rsid w:val="194A1301"/>
    <w:rsid w:val="195576C8"/>
    <w:rsid w:val="19BB3A05"/>
    <w:rsid w:val="19CA1922"/>
    <w:rsid w:val="19CA6AEA"/>
    <w:rsid w:val="1A4A1F1B"/>
    <w:rsid w:val="1AB22DB0"/>
    <w:rsid w:val="1ABC3B36"/>
    <w:rsid w:val="1ADB6CEB"/>
    <w:rsid w:val="1B04548A"/>
    <w:rsid w:val="1B3A1DD3"/>
    <w:rsid w:val="1BEE6C7E"/>
    <w:rsid w:val="1C4D73A6"/>
    <w:rsid w:val="1C7B7059"/>
    <w:rsid w:val="1C984EA9"/>
    <w:rsid w:val="1CF54D0D"/>
    <w:rsid w:val="1D173593"/>
    <w:rsid w:val="1D5510E6"/>
    <w:rsid w:val="1D8927A9"/>
    <w:rsid w:val="1D8A0989"/>
    <w:rsid w:val="1DAA697C"/>
    <w:rsid w:val="1DBC259A"/>
    <w:rsid w:val="1DFA356D"/>
    <w:rsid w:val="1DFC4614"/>
    <w:rsid w:val="1E57661E"/>
    <w:rsid w:val="1E8D2F4B"/>
    <w:rsid w:val="1ECA6098"/>
    <w:rsid w:val="1F5A25AA"/>
    <w:rsid w:val="1F87166B"/>
    <w:rsid w:val="1FE4312C"/>
    <w:rsid w:val="20093412"/>
    <w:rsid w:val="20221AB6"/>
    <w:rsid w:val="20641CD2"/>
    <w:rsid w:val="206D5617"/>
    <w:rsid w:val="207E2925"/>
    <w:rsid w:val="209C2F82"/>
    <w:rsid w:val="20D87DD3"/>
    <w:rsid w:val="21333CB9"/>
    <w:rsid w:val="215B5EE3"/>
    <w:rsid w:val="2170552A"/>
    <w:rsid w:val="21725EAA"/>
    <w:rsid w:val="21BD1856"/>
    <w:rsid w:val="21F775B6"/>
    <w:rsid w:val="21FE778F"/>
    <w:rsid w:val="22035D26"/>
    <w:rsid w:val="222511D3"/>
    <w:rsid w:val="222A7E1E"/>
    <w:rsid w:val="22A33E3D"/>
    <w:rsid w:val="23C53F61"/>
    <w:rsid w:val="24AF1061"/>
    <w:rsid w:val="2528193B"/>
    <w:rsid w:val="25444A65"/>
    <w:rsid w:val="255B2849"/>
    <w:rsid w:val="264941D1"/>
    <w:rsid w:val="26703415"/>
    <w:rsid w:val="268F7A4C"/>
    <w:rsid w:val="26A21C12"/>
    <w:rsid w:val="26B137CD"/>
    <w:rsid w:val="26E32CAC"/>
    <w:rsid w:val="27416481"/>
    <w:rsid w:val="27512300"/>
    <w:rsid w:val="27556201"/>
    <w:rsid w:val="276F23A0"/>
    <w:rsid w:val="277F67AF"/>
    <w:rsid w:val="27C231BC"/>
    <w:rsid w:val="280C386E"/>
    <w:rsid w:val="283C5AAF"/>
    <w:rsid w:val="28AC6FA1"/>
    <w:rsid w:val="28AD7F2A"/>
    <w:rsid w:val="290772D8"/>
    <w:rsid w:val="29526A59"/>
    <w:rsid w:val="29991719"/>
    <w:rsid w:val="29DB75AB"/>
    <w:rsid w:val="2A0F693C"/>
    <w:rsid w:val="2A4B79CF"/>
    <w:rsid w:val="2A583BDC"/>
    <w:rsid w:val="2B0C4BC4"/>
    <w:rsid w:val="2B846F6E"/>
    <w:rsid w:val="2BDE2DFD"/>
    <w:rsid w:val="2C1F26D0"/>
    <w:rsid w:val="2C3D292E"/>
    <w:rsid w:val="2C477944"/>
    <w:rsid w:val="2C681735"/>
    <w:rsid w:val="2CB46FDB"/>
    <w:rsid w:val="2CDD7B70"/>
    <w:rsid w:val="2DA54E89"/>
    <w:rsid w:val="2DFB27B7"/>
    <w:rsid w:val="2E2A0988"/>
    <w:rsid w:val="2EA773C5"/>
    <w:rsid w:val="2ED42FAB"/>
    <w:rsid w:val="2F366741"/>
    <w:rsid w:val="31CE1739"/>
    <w:rsid w:val="325B5177"/>
    <w:rsid w:val="32625B19"/>
    <w:rsid w:val="32F96D37"/>
    <w:rsid w:val="32FA5B66"/>
    <w:rsid w:val="33077788"/>
    <w:rsid w:val="33672B89"/>
    <w:rsid w:val="33803AE5"/>
    <w:rsid w:val="33DA419B"/>
    <w:rsid w:val="33E7097A"/>
    <w:rsid w:val="340D5819"/>
    <w:rsid w:val="34823E1A"/>
    <w:rsid w:val="34C2320E"/>
    <w:rsid w:val="34FD6C4E"/>
    <w:rsid w:val="35027C4E"/>
    <w:rsid w:val="351F01B0"/>
    <w:rsid w:val="357F7BE6"/>
    <w:rsid w:val="359E5DA6"/>
    <w:rsid w:val="35E05158"/>
    <w:rsid w:val="35FD6528"/>
    <w:rsid w:val="3603329E"/>
    <w:rsid w:val="36292E46"/>
    <w:rsid w:val="36721D93"/>
    <w:rsid w:val="36C67F48"/>
    <w:rsid w:val="36FE6ED4"/>
    <w:rsid w:val="370C0EF6"/>
    <w:rsid w:val="370E2444"/>
    <w:rsid w:val="37A03B9A"/>
    <w:rsid w:val="37DF01D1"/>
    <w:rsid w:val="38871868"/>
    <w:rsid w:val="38C773A4"/>
    <w:rsid w:val="38D65753"/>
    <w:rsid w:val="39021D3D"/>
    <w:rsid w:val="39245C50"/>
    <w:rsid w:val="395C4DB9"/>
    <w:rsid w:val="39622AB9"/>
    <w:rsid w:val="39824704"/>
    <w:rsid w:val="39A15878"/>
    <w:rsid w:val="39AD5135"/>
    <w:rsid w:val="39F545FE"/>
    <w:rsid w:val="3A730B2A"/>
    <w:rsid w:val="3A7733B5"/>
    <w:rsid w:val="3A8F42DA"/>
    <w:rsid w:val="3ACC739E"/>
    <w:rsid w:val="3AF251B7"/>
    <w:rsid w:val="3AFD3559"/>
    <w:rsid w:val="3B085560"/>
    <w:rsid w:val="3B1825C5"/>
    <w:rsid w:val="3B320E51"/>
    <w:rsid w:val="3B8023A1"/>
    <w:rsid w:val="3B8519B2"/>
    <w:rsid w:val="3B874061"/>
    <w:rsid w:val="3C676135"/>
    <w:rsid w:val="3CB60938"/>
    <w:rsid w:val="3CEC76B7"/>
    <w:rsid w:val="3D0C551D"/>
    <w:rsid w:val="3D0E3869"/>
    <w:rsid w:val="3D372831"/>
    <w:rsid w:val="3D586B1B"/>
    <w:rsid w:val="3E200911"/>
    <w:rsid w:val="3EB82705"/>
    <w:rsid w:val="3EC5675F"/>
    <w:rsid w:val="3F767015"/>
    <w:rsid w:val="3FA7773D"/>
    <w:rsid w:val="40543EF5"/>
    <w:rsid w:val="40596711"/>
    <w:rsid w:val="405F7DF3"/>
    <w:rsid w:val="408A5C74"/>
    <w:rsid w:val="40CC02CC"/>
    <w:rsid w:val="40D031F2"/>
    <w:rsid w:val="40D83E9F"/>
    <w:rsid w:val="40E4142D"/>
    <w:rsid w:val="40F362A8"/>
    <w:rsid w:val="41736CE5"/>
    <w:rsid w:val="41982DB7"/>
    <w:rsid w:val="419D4385"/>
    <w:rsid w:val="420F0402"/>
    <w:rsid w:val="42261EF7"/>
    <w:rsid w:val="43126C97"/>
    <w:rsid w:val="431E0008"/>
    <w:rsid w:val="434D13B2"/>
    <w:rsid w:val="437753D5"/>
    <w:rsid w:val="43B70C81"/>
    <w:rsid w:val="44292AD4"/>
    <w:rsid w:val="4469254F"/>
    <w:rsid w:val="44B27C2A"/>
    <w:rsid w:val="451A3510"/>
    <w:rsid w:val="45394FD3"/>
    <w:rsid w:val="45B13023"/>
    <w:rsid w:val="46300AAA"/>
    <w:rsid w:val="463E3A7E"/>
    <w:rsid w:val="469B1CAE"/>
    <w:rsid w:val="46AE5FF3"/>
    <w:rsid w:val="47192EA5"/>
    <w:rsid w:val="474D75E2"/>
    <w:rsid w:val="48150E11"/>
    <w:rsid w:val="48212EC4"/>
    <w:rsid w:val="4862186A"/>
    <w:rsid w:val="48A91119"/>
    <w:rsid w:val="48B614A6"/>
    <w:rsid w:val="48CB5056"/>
    <w:rsid w:val="49370AB5"/>
    <w:rsid w:val="4A0C4B1D"/>
    <w:rsid w:val="4B031B7A"/>
    <w:rsid w:val="4BA4167F"/>
    <w:rsid w:val="4BF806A6"/>
    <w:rsid w:val="4C540BEC"/>
    <w:rsid w:val="4C6427BD"/>
    <w:rsid w:val="4C8D6CF7"/>
    <w:rsid w:val="4CE66527"/>
    <w:rsid w:val="4D221E11"/>
    <w:rsid w:val="4D271D07"/>
    <w:rsid w:val="4D4D6563"/>
    <w:rsid w:val="4D7719FF"/>
    <w:rsid w:val="4DC95573"/>
    <w:rsid w:val="4E230FE8"/>
    <w:rsid w:val="4E3C6E2B"/>
    <w:rsid w:val="4E3E4E22"/>
    <w:rsid w:val="4E4832CD"/>
    <w:rsid w:val="4E835676"/>
    <w:rsid w:val="4F0F48AA"/>
    <w:rsid w:val="4F8326B0"/>
    <w:rsid w:val="4FB9214A"/>
    <w:rsid w:val="4FC5339D"/>
    <w:rsid w:val="4FC66683"/>
    <w:rsid w:val="4FCE6C6A"/>
    <w:rsid w:val="4FD23DCD"/>
    <w:rsid w:val="4FE20E43"/>
    <w:rsid w:val="500B41C6"/>
    <w:rsid w:val="50243E54"/>
    <w:rsid w:val="50425DAA"/>
    <w:rsid w:val="50A713CB"/>
    <w:rsid w:val="513405CC"/>
    <w:rsid w:val="513813F3"/>
    <w:rsid w:val="515A41FC"/>
    <w:rsid w:val="517921CD"/>
    <w:rsid w:val="519B1D3C"/>
    <w:rsid w:val="524D2A61"/>
    <w:rsid w:val="527E73EA"/>
    <w:rsid w:val="52802927"/>
    <w:rsid w:val="528E5686"/>
    <w:rsid w:val="53604C26"/>
    <w:rsid w:val="543904D4"/>
    <w:rsid w:val="54431A0E"/>
    <w:rsid w:val="54552B6D"/>
    <w:rsid w:val="54914C1C"/>
    <w:rsid w:val="54D44AC7"/>
    <w:rsid w:val="553F67DC"/>
    <w:rsid w:val="55CE15C1"/>
    <w:rsid w:val="56112655"/>
    <w:rsid w:val="564B5EE6"/>
    <w:rsid w:val="56A42262"/>
    <w:rsid w:val="56B90A6D"/>
    <w:rsid w:val="5711455E"/>
    <w:rsid w:val="57134D7D"/>
    <w:rsid w:val="573A638F"/>
    <w:rsid w:val="57644048"/>
    <w:rsid w:val="57802FAE"/>
    <w:rsid w:val="57B9702B"/>
    <w:rsid w:val="57D07126"/>
    <w:rsid w:val="58260B9B"/>
    <w:rsid w:val="58500DD6"/>
    <w:rsid w:val="5855243C"/>
    <w:rsid w:val="585D3DF0"/>
    <w:rsid w:val="58746F33"/>
    <w:rsid w:val="58CF6491"/>
    <w:rsid w:val="58D108AE"/>
    <w:rsid w:val="58D25A73"/>
    <w:rsid w:val="58D54B9A"/>
    <w:rsid w:val="593C5129"/>
    <w:rsid w:val="59BE02C8"/>
    <w:rsid w:val="59D624CA"/>
    <w:rsid w:val="5A493ED1"/>
    <w:rsid w:val="5A4A3433"/>
    <w:rsid w:val="5AA804F6"/>
    <w:rsid w:val="5B0B47FB"/>
    <w:rsid w:val="5B4B0AC3"/>
    <w:rsid w:val="5B4F64F7"/>
    <w:rsid w:val="5CA0213D"/>
    <w:rsid w:val="5D156FA2"/>
    <w:rsid w:val="5D551BFA"/>
    <w:rsid w:val="5D595304"/>
    <w:rsid w:val="5D6E0C63"/>
    <w:rsid w:val="5DC900D8"/>
    <w:rsid w:val="5DE977F8"/>
    <w:rsid w:val="5F0F1DD3"/>
    <w:rsid w:val="5F207068"/>
    <w:rsid w:val="5F760B65"/>
    <w:rsid w:val="5FA27792"/>
    <w:rsid w:val="5FF35C58"/>
    <w:rsid w:val="60364859"/>
    <w:rsid w:val="603C0D48"/>
    <w:rsid w:val="605F13F0"/>
    <w:rsid w:val="608A1A55"/>
    <w:rsid w:val="60A1719B"/>
    <w:rsid w:val="60E107EC"/>
    <w:rsid w:val="60E35500"/>
    <w:rsid w:val="6121278F"/>
    <w:rsid w:val="612625AA"/>
    <w:rsid w:val="6148542E"/>
    <w:rsid w:val="61817E3C"/>
    <w:rsid w:val="620F6776"/>
    <w:rsid w:val="62367E65"/>
    <w:rsid w:val="624038C5"/>
    <w:rsid w:val="625A0EC2"/>
    <w:rsid w:val="6265623A"/>
    <w:rsid w:val="628F111D"/>
    <w:rsid w:val="629E1DFA"/>
    <w:rsid w:val="62A86D2A"/>
    <w:rsid w:val="62B23D75"/>
    <w:rsid w:val="62E0271D"/>
    <w:rsid w:val="62EB5301"/>
    <w:rsid w:val="632C14AF"/>
    <w:rsid w:val="6376327D"/>
    <w:rsid w:val="63E65CAD"/>
    <w:rsid w:val="644205E4"/>
    <w:rsid w:val="644D1DFE"/>
    <w:rsid w:val="65364107"/>
    <w:rsid w:val="65DC4836"/>
    <w:rsid w:val="65DF3879"/>
    <w:rsid w:val="661357A0"/>
    <w:rsid w:val="663917B9"/>
    <w:rsid w:val="663D1963"/>
    <w:rsid w:val="667A086C"/>
    <w:rsid w:val="66F23DA0"/>
    <w:rsid w:val="67591F27"/>
    <w:rsid w:val="67BF5964"/>
    <w:rsid w:val="67ED0162"/>
    <w:rsid w:val="680C1D11"/>
    <w:rsid w:val="68675294"/>
    <w:rsid w:val="688A2780"/>
    <w:rsid w:val="689E3E83"/>
    <w:rsid w:val="68ED24C0"/>
    <w:rsid w:val="691F79AD"/>
    <w:rsid w:val="698334C9"/>
    <w:rsid w:val="6A1C1366"/>
    <w:rsid w:val="6AEB0406"/>
    <w:rsid w:val="6B1662A0"/>
    <w:rsid w:val="6B324C90"/>
    <w:rsid w:val="6BDD3E6C"/>
    <w:rsid w:val="6C075B40"/>
    <w:rsid w:val="6C9A762A"/>
    <w:rsid w:val="6CC64A9C"/>
    <w:rsid w:val="6D3D73A6"/>
    <w:rsid w:val="6DB55520"/>
    <w:rsid w:val="6DF50BC4"/>
    <w:rsid w:val="6E32632A"/>
    <w:rsid w:val="6E42063C"/>
    <w:rsid w:val="6E7B0286"/>
    <w:rsid w:val="6E83674B"/>
    <w:rsid w:val="6F81410E"/>
    <w:rsid w:val="6FB920DF"/>
    <w:rsid w:val="6FCA1424"/>
    <w:rsid w:val="70222ADB"/>
    <w:rsid w:val="70323211"/>
    <w:rsid w:val="71277622"/>
    <w:rsid w:val="716B506C"/>
    <w:rsid w:val="71805FEF"/>
    <w:rsid w:val="71840341"/>
    <w:rsid w:val="71C8773D"/>
    <w:rsid w:val="71E940A1"/>
    <w:rsid w:val="7263165D"/>
    <w:rsid w:val="72F8265E"/>
    <w:rsid w:val="73235F29"/>
    <w:rsid w:val="73A823EF"/>
    <w:rsid w:val="74775FC0"/>
    <w:rsid w:val="749414A1"/>
    <w:rsid w:val="75D37D0F"/>
    <w:rsid w:val="76084588"/>
    <w:rsid w:val="76890FEF"/>
    <w:rsid w:val="76B83908"/>
    <w:rsid w:val="76EA4765"/>
    <w:rsid w:val="77197ED0"/>
    <w:rsid w:val="77392219"/>
    <w:rsid w:val="77AB14FD"/>
    <w:rsid w:val="785D08BC"/>
    <w:rsid w:val="78624DA5"/>
    <w:rsid w:val="78773C75"/>
    <w:rsid w:val="78AB0C68"/>
    <w:rsid w:val="78E328E5"/>
    <w:rsid w:val="79046A88"/>
    <w:rsid w:val="79130FEA"/>
    <w:rsid w:val="79662E86"/>
    <w:rsid w:val="79EA0D2A"/>
    <w:rsid w:val="7A2141E3"/>
    <w:rsid w:val="7A33156C"/>
    <w:rsid w:val="7AC27882"/>
    <w:rsid w:val="7AF83AAC"/>
    <w:rsid w:val="7B011597"/>
    <w:rsid w:val="7B0638C4"/>
    <w:rsid w:val="7B0924ED"/>
    <w:rsid w:val="7B2075DD"/>
    <w:rsid w:val="7B2A00C7"/>
    <w:rsid w:val="7B5D5082"/>
    <w:rsid w:val="7BD16A01"/>
    <w:rsid w:val="7C3F1BA4"/>
    <w:rsid w:val="7CAA70EF"/>
    <w:rsid w:val="7CD32026"/>
    <w:rsid w:val="7CEB71BA"/>
    <w:rsid w:val="7D9C7A9A"/>
    <w:rsid w:val="7DD06F88"/>
    <w:rsid w:val="7DE85FE7"/>
    <w:rsid w:val="7ED21CB4"/>
    <w:rsid w:val="7EF239C6"/>
    <w:rsid w:val="7F806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4">
    <w:name w:val="heading 3"/>
    <w:basedOn w:val="5"/>
    <w:next w:val="5"/>
    <w:qFormat/>
    <w:uiPriority w:val="0"/>
    <w:pPr>
      <w:keepNext/>
      <w:keepLines/>
      <w:numPr>
        <w:ilvl w:val="2"/>
        <w:numId w:val="1"/>
      </w:numPr>
      <w:spacing w:before="260" w:after="260" w:line="416" w:lineRule="auto"/>
      <w:ind w:leftChars="0"/>
      <w:outlineLvl w:val="2"/>
    </w:pPr>
    <w:rPr>
      <w:b/>
      <w:bCs/>
      <w:kern w:val="0"/>
      <w:sz w:val="30"/>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5">
    <w:name w:val="Block Text"/>
    <w:basedOn w:val="1"/>
    <w:unhideWhenUsed/>
    <w:qFormat/>
    <w:uiPriority w:val="99"/>
    <w:pPr>
      <w:spacing w:after="120" w:afterLines="0" w:afterAutospacing="0"/>
      <w:ind w:left="1440" w:leftChars="700" w:rightChars="700"/>
    </w:pPr>
  </w:style>
  <w:style w:type="paragraph" w:styleId="6">
    <w:name w:val="Body Text"/>
    <w:basedOn w:val="1"/>
    <w:next w:val="7"/>
    <w:qFormat/>
    <w:uiPriority w:val="1"/>
    <w:rPr>
      <w:rFonts w:ascii="宋体" w:hAnsi="宋体" w:eastAsia="宋体" w:cs="宋体"/>
      <w:sz w:val="24"/>
      <w:szCs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0">
    <w:name w:val="Body Text Indent"/>
    <w:basedOn w:val="1"/>
    <w:semiHidden/>
    <w:unhideWhenUsed/>
    <w:qFormat/>
    <w:uiPriority w:val="99"/>
    <w:pPr>
      <w:spacing w:after="120"/>
      <w:ind w:left="420" w:leftChars="200"/>
    </w:pPr>
  </w:style>
  <w:style w:type="paragraph" w:styleId="11">
    <w:name w:val="Plain Text"/>
    <w:basedOn w:val="1"/>
    <w:qFormat/>
    <w:uiPriority w:val="0"/>
    <w:rPr>
      <w:rFonts w:ascii="宋体" w:hAnsi="Courier New" w:eastAsiaTheme="minorEastAsia" w:cstheme="minorBidi"/>
    </w:rPr>
  </w:style>
  <w:style w:type="paragraph" w:styleId="12">
    <w:name w:val="Balloon Text"/>
    <w:basedOn w:val="1"/>
    <w:link w:val="24"/>
    <w:semiHidden/>
    <w:unhideWhenUsed/>
    <w:qFormat/>
    <w:uiPriority w:val="99"/>
    <w:rPr>
      <w:sz w:val="18"/>
      <w:szCs w:val="18"/>
    </w:rPr>
  </w:style>
  <w:style w:type="paragraph" w:styleId="13">
    <w:name w:val="footer"/>
    <w:basedOn w:val="1"/>
    <w:link w:val="23"/>
    <w:unhideWhenUsed/>
    <w:qFormat/>
    <w:uiPriority w:val="99"/>
    <w:pPr>
      <w:tabs>
        <w:tab w:val="center" w:pos="4153"/>
        <w:tab w:val="right" w:pos="8306"/>
      </w:tabs>
      <w:snapToGrid w:val="0"/>
      <w:jc w:val="left"/>
    </w:pPr>
    <w:rPr>
      <w:sz w:val="18"/>
      <w:szCs w:val="18"/>
    </w:rPr>
  </w:style>
  <w:style w:type="paragraph" w:styleId="14">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after="120" w:line="480" w:lineRule="auto"/>
    </w:pPr>
    <w:rPr>
      <w:rFonts w:asciiTheme="minorHAnsi" w:hAnsiTheme="minorHAnsi" w:eastAsiaTheme="minorEastAsia" w:cstheme="minorBidi"/>
    </w:rPr>
  </w:style>
  <w:style w:type="paragraph" w:styleId="16">
    <w:name w:val="Body Text First Indent"/>
    <w:basedOn w:val="6"/>
    <w:unhideWhenUsed/>
    <w:qFormat/>
    <w:uiPriority w:val="99"/>
    <w:pPr>
      <w:spacing w:before="100" w:beforeAutospacing="1"/>
      <w:ind w:firstLine="420" w:firstLineChars="100"/>
    </w:pPr>
  </w:style>
  <w:style w:type="paragraph" w:styleId="17">
    <w:name w:val="Body Text First Indent 2"/>
    <w:basedOn w:val="10"/>
    <w:unhideWhenUsed/>
    <w:qFormat/>
    <w:uiPriority w:val="99"/>
    <w:pPr>
      <w:ind w:firstLine="420" w:firstLineChars="200"/>
    </w:pPr>
    <w:rPr>
      <w:szCs w:val="24"/>
    </w:rPr>
  </w:style>
  <w:style w:type="character" w:styleId="20">
    <w:name w:val="Hyperlink"/>
    <w:qFormat/>
    <w:uiPriority w:val="99"/>
    <w:rPr>
      <w:rFonts w:ascii="Times New Roman" w:hAnsi="Times New Roman" w:eastAsia="宋体"/>
      <w:color w:val="auto"/>
      <w:spacing w:val="0"/>
      <w:w w:val="100"/>
      <w:position w:val="0"/>
      <w:sz w:val="21"/>
      <w:u w:val="none"/>
      <w:vertAlign w:val="baseline"/>
    </w:rPr>
  </w:style>
  <w:style w:type="paragraph" w:customStyle="1" w:styleId="21">
    <w:name w:val="表格文字"/>
    <w:basedOn w:val="1"/>
    <w:qFormat/>
    <w:uiPriority w:val="99"/>
    <w:pPr>
      <w:spacing w:before="25" w:after="25"/>
    </w:pPr>
    <w:rPr>
      <w:bCs/>
      <w:spacing w:val="10"/>
    </w:rPr>
  </w:style>
  <w:style w:type="character" w:customStyle="1" w:styleId="22">
    <w:name w:val="页眉 Char"/>
    <w:basedOn w:val="19"/>
    <w:link w:val="14"/>
    <w:qFormat/>
    <w:uiPriority w:val="99"/>
    <w:rPr>
      <w:rFonts w:ascii="Times New Roman" w:hAnsi="Times New Roman" w:eastAsia="宋体" w:cs="Times New Roman"/>
      <w:sz w:val="18"/>
      <w:szCs w:val="18"/>
    </w:rPr>
  </w:style>
  <w:style w:type="character" w:customStyle="1" w:styleId="23">
    <w:name w:val="页脚 Char"/>
    <w:basedOn w:val="19"/>
    <w:link w:val="13"/>
    <w:qFormat/>
    <w:uiPriority w:val="99"/>
    <w:rPr>
      <w:rFonts w:ascii="Times New Roman" w:hAnsi="Times New Roman" w:eastAsia="宋体" w:cs="Times New Roman"/>
      <w:sz w:val="18"/>
      <w:szCs w:val="18"/>
    </w:rPr>
  </w:style>
  <w:style w:type="character" w:customStyle="1" w:styleId="24">
    <w:name w:val="批注框文本 Char"/>
    <w:basedOn w:val="19"/>
    <w:link w:val="12"/>
    <w:semiHidden/>
    <w:qFormat/>
    <w:uiPriority w:val="99"/>
    <w:rPr>
      <w:rFonts w:ascii="Times New Roman" w:hAnsi="Times New Roman" w:eastAsia="宋体" w:cs="Times New Roman"/>
      <w:sz w:val="18"/>
      <w:szCs w:val="18"/>
    </w:rPr>
  </w:style>
  <w:style w:type="character" w:customStyle="1" w:styleId="25">
    <w:name w:val="Char Char1"/>
    <w:qFormat/>
    <w:locked/>
    <w:uiPriority w:val="0"/>
    <w:rPr>
      <w:rFonts w:hint="eastAsia" w:ascii="宋体" w:hAnsi="Courier New" w:eastAsia="宋体"/>
      <w:kern w:val="2"/>
      <w:sz w:val="21"/>
      <w:lang w:val="en-US" w:eastAsia="zh-CN" w:bidi="ar-SA"/>
    </w:rPr>
  </w:style>
  <w:style w:type="paragraph" w:styleId="26">
    <w:name w:val="List Paragraph"/>
    <w:basedOn w:val="1"/>
    <w:unhideWhenUsed/>
    <w:qFormat/>
    <w:uiPriority w:val="99"/>
    <w:pPr>
      <w:ind w:firstLine="420" w:firstLineChars="200"/>
    </w:p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2021-05-17T01:16:24Z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6DAC3B4CA0EA413DBAAA48ADEFCE26A3</vt:lpwstr>
  </property>
</Properties>
</file>