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宋体" w:hAnsi="宋体" w:eastAsia="宋体" w:cs="宋体"/>
                <w:sz w:val="24"/>
                <w:szCs w:val="24"/>
              </w:rPr>
            </w:pPr>
            <w:r>
              <w:rPr>
                <w:rFonts w:hint="eastAsia" w:ascii="宋体" w:hAnsi="宋体" w:eastAsia="宋体" w:cs="宋体"/>
                <w:sz w:val="24"/>
                <w:szCs w:val="24"/>
              </w:rPr>
              <w:t>过程与活动、</w:t>
            </w:r>
          </w:p>
          <w:p>
            <w:pPr>
              <w:jc w:val="center"/>
              <w:rPr>
                <w:rFonts w:hint="eastAsia" w:ascii="宋体" w:hAnsi="宋体" w:eastAsia="宋体" w:cs="宋体"/>
              </w:rPr>
            </w:pPr>
            <w:r>
              <w:rPr>
                <w:rFonts w:hint="eastAsia" w:ascii="宋体" w:hAnsi="宋体" w:eastAsia="宋体" w:cs="宋体"/>
                <w:sz w:val="24"/>
                <w:szCs w:val="24"/>
              </w:rPr>
              <w:t>抽样计划</w:t>
            </w:r>
          </w:p>
        </w:tc>
        <w:tc>
          <w:tcPr>
            <w:tcW w:w="960" w:type="dxa"/>
            <w:vMerge w:val="restart"/>
            <w:vAlign w:val="center"/>
          </w:tcPr>
          <w:p>
            <w:pPr>
              <w:rPr>
                <w:rFonts w:hint="eastAsia" w:ascii="宋体" w:hAnsi="宋体" w:eastAsia="宋体" w:cs="宋体"/>
                <w:sz w:val="24"/>
                <w:szCs w:val="24"/>
              </w:rPr>
            </w:pPr>
            <w:r>
              <w:rPr>
                <w:rFonts w:hint="eastAsia" w:ascii="宋体" w:hAnsi="宋体" w:eastAsia="宋体" w:cs="宋体"/>
                <w:sz w:val="24"/>
                <w:szCs w:val="24"/>
              </w:rPr>
              <w:t>涉及</w:t>
            </w:r>
          </w:p>
          <w:p>
            <w:pPr>
              <w:rPr>
                <w:rFonts w:hint="eastAsia" w:ascii="宋体" w:hAnsi="宋体" w:eastAsia="宋体" w:cs="宋体"/>
              </w:rPr>
            </w:pPr>
            <w:r>
              <w:rPr>
                <w:rFonts w:hint="eastAsia" w:ascii="宋体" w:hAnsi="宋体" w:eastAsia="宋体" w:cs="宋体"/>
                <w:sz w:val="24"/>
                <w:szCs w:val="24"/>
              </w:rPr>
              <w:t>条款</w:t>
            </w:r>
          </w:p>
        </w:tc>
        <w:tc>
          <w:tcPr>
            <w:tcW w:w="10004" w:type="dxa"/>
            <w:vAlign w:val="center"/>
          </w:tcPr>
          <w:p>
            <w:pPr>
              <w:rPr>
                <w:rFonts w:hint="eastAsia" w:ascii="宋体" w:hAnsi="宋体" w:eastAsia="宋体" w:cs="宋体"/>
                <w:sz w:val="21"/>
                <w:szCs w:val="21"/>
                <w:lang w:val="en-US" w:eastAsia="zh-CN"/>
              </w:rPr>
            </w:pPr>
            <w:r>
              <w:rPr>
                <w:rFonts w:hint="eastAsia" w:ascii="宋体" w:hAnsi="宋体" w:eastAsia="宋体" w:cs="宋体"/>
                <w:sz w:val="24"/>
                <w:szCs w:val="24"/>
              </w:rPr>
              <w:t>受审核部门：</w:t>
            </w:r>
            <w:r>
              <w:rPr>
                <w:rFonts w:hint="eastAsia" w:ascii="宋体" w:hAnsi="宋体" w:eastAsia="宋体" w:cs="宋体"/>
                <w:sz w:val="24"/>
                <w:szCs w:val="24"/>
                <w:lang w:val="en-US" w:eastAsia="zh-CN"/>
              </w:rPr>
              <w:t>专业计量室</w:t>
            </w:r>
            <w:r>
              <w:rPr>
                <w:rFonts w:hint="eastAsia" w:ascii="宋体" w:hAnsi="宋体" w:eastAsia="宋体" w:cs="宋体"/>
                <w:sz w:val="24"/>
                <w:szCs w:val="24"/>
              </w:rPr>
              <w:t xml:space="preserve">   主管领导：</w:t>
            </w:r>
            <w:r>
              <w:rPr>
                <w:rFonts w:hint="eastAsia" w:ascii="宋体" w:hAnsi="宋体" w:eastAsia="宋体" w:cs="宋体"/>
                <w:sz w:val="24"/>
                <w:szCs w:val="24"/>
                <w:lang w:val="en-US" w:eastAsia="zh-CN"/>
              </w:rPr>
              <w:t>刘海平</w:t>
            </w:r>
            <w:r>
              <w:rPr>
                <w:rFonts w:hint="eastAsia" w:ascii="宋体" w:hAnsi="宋体" w:eastAsia="宋体" w:cs="宋体"/>
                <w:sz w:val="24"/>
                <w:szCs w:val="24"/>
              </w:rPr>
              <w:t xml:space="preserve">      陪同人员：</w:t>
            </w:r>
            <w:r>
              <w:rPr>
                <w:rFonts w:hint="eastAsia" w:ascii="宋体" w:hAnsi="宋体" w:eastAsia="宋体" w:cs="宋体"/>
                <w:sz w:val="24"/>
                <w:szCs w:val="24"/>
                <w:lang w:val="en-US" w:eastAsia="zh-CN"/>
              </w:rPr>
              <w:t>陈飞燕</w:t>
            </w:r>
          </w:p>
        </w:tc>
        <w:tc>
          <w:tcPr>
            <w:tcW w:w="1585" w:type="dxa"/>
            <w:vMerge w:val="restart"/>
            <w:vAlign w:val="center"/>
          </w:tcPr>
          <w:p>
            <w:pPr>
              <w:rPr>
                <w:rFonts w:hint="eastAsia" w:ascii="宋体" w:hAnsi="宋体" w:eastAsia="宋体" w:cs="宋体"/>
                <w:sz w:val="24"/>
                <w:szCs w:val="24"/>
              </w:rPr>
            </w:pPr>
            <w:r>
              <w:rPr>
                <w:rFonts w:hint="eastAsia" w:ascii="宋体" w:hAnsi="宋体" w:eastAsia="宋体" w:cs="宋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rFonts w:hint="eastAsia" w:ascii="宋体" w:hAnsi="宋体" w:eastAsia="宋体" w:cs="宋体"/>
              </w:rPr>
            </w:pPr>
          </w:p>
        </w:tc>
        <w:tc>
          <w:tcPr>
            <w:tcW w:w="960" w:type="dxa"/>
            <w:vMerge w:val="continue"/>
            <w:vAlign w:val="center"/>
          </w:tcPr>
          <w:p>
            <w:pPr>
              <w:rPr>
                <w:rFonts w:hint="eastAsia" w:ascii="宋体" w:hAnsi="宋体" w:eastAsia="宋体" w:cs="宋体"/>
              </w:rPr>
            </w:pPr>
          </w:p>
        </w:tc>
        <w:tc>
          <w:tcPr>
            <w:tcW w:w="10004" w:type="dxa"/>
            <w:vAlign w:val="center"/>
          </w:tcPr>
          <w:p>
            <w:pPr>
              <w:spacing w:before="120"/>
              <w:rPr>
                <w:rFonts w:hint="eastAsia" w:ascii="宋体" w:hAnsi="宋体" w:eastAsia="宋体" w:cs="宋体"/>
                <w:sz w:val="21"/>
                <w:szCs w:val="21"/>
                <w:lang w:val="en-US" w:eastAsia="zh-CN"/>
              </w:rPr>
            </w:pPr>
            <w:r>
              <w:rPr>
                <w:rFonts w:hint="eastAsia" w:ascii="宋体" w:hAnsi="宋体" w:eastAsia="宋体" w:cs="宋体"/>
                <w:sz w:val="24"/>
                <w:szCs w:val="24"/>
              </w:rPr>
              <w:t>审核员：</w:t>
            </w:r>
            <w:r>
              <w:rPr>
                <w:rFonts w:hint="eastAsia" w:ascii="宋体" w:hAnsi="宋体" w:eastAsia="宋体" w:cs="宋体"/>
                <w:sz w:val="24"/>
                <w:szCs w:val="24"/>
                <w:lang w:val="en-US" w:eastAsia="zh-CN"/>
              </w:rPr>
              <w:t>李俐</w:t>
            </w:r>
            <w:r>
              <w:rPr>
                <w:rFonts w:hint="eastAsia" w:ascii="宋体" w:hAnsi="宋体" w:eastAsia="宋体" w:cs="宋体"/>
                <w:sz w:val="24"/>
                <w:szCs w:val="24"/>
              </w:rPr>
              <w:t xml:space="preserve">     审核时间：20</w:t>
            </w:r>
            <w:r>
              <w:rPr>
                <w:rFonts w:hint="eastAsia" w:ascii="宋体" w:hAnsi="宋体" w:eastAsia="宋体" w:cs="宋体"/>
                <w:sz w:val="24"/>
                <w:szCs w:val="24"/>
                <w:lang w:val="en-US" w:eastAsia="zh-CN"/>
              </w:rPr>
              <w:t>20</w:t>
            </w:r>
            <w:r>
              <w:rPr>
                <w:rFonts w:hint="eastAsia" w:ascii="宋体" w:hAnsi="宋体" w:eastAsia="宋体" w:cs="宋体"/>
                <w:sz w:val="24"/>
                <w:szCs w:val="24"/>
              </w:rPr>
              <w:t>年</w:t>
            </w:r>
            <w:r>
              <w:rPr>
                <w:rFonts w:hint="eastAsia" w:ascii="宋体" w:hAnsi="宋体" w:eastAsia="宋体" w:cs="宋体"/>
                <w:sz w:val="24"/>
                <w:szCs w:val="24"/>
                <w:lang w:val="en-US" w:eastAsia="zh-CN"/>
              </w:rPr>
              <w:t>5</w:t>
            </w:r>
            <w:r>
              <w:rPr>
                <w:rFonts w:hint="eastAsia" w:ascii="宋体" w:hAnsi="宋体" w:eastAsia="宋体" w:cs="宋体"/>
                <w:sz w:val="24"/>
                <w:szCs w:val="24"/>
              </w:rPr>
              <w:t>月</w:t>
            </w:r>
            <w:r>
              <w:rPr>
                <w:rFonts w:hint="eastAsia" w:ascii="宋体" w:hAnsi="宋体" w:eastAsia="宋体" w:cs="宋体"/>
                <w:sz w:val="24"/>
                <w:szCs w:val="24"/>
                <w:lang w:val="en-US" w:eastAsia="zh-CN"/>
              </w:rPr>
              <w:t>4日</w:t>
            </w:r>
          </w:p>
        </w:tc>
        <w:tc>
          <w:tcPr>
            <w:tcW w:w="1585" w:type="dxa"/>
            <w:vMerge w:val="continue"/>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宋体" w:hAnsi="宋体" w:eastAsia="宋体" w:cs="宋体"/>
              </w:rPr>
            </w:pPr>
          </w:p>
        </w:tc>
        <w:tc>
          <w:tcPr>
            <w:tcW w:w="960" w:type="dxa"/>
            <w:vMerge w:val="continue"/>
            <w:vAlign w:val="center"/>
          </w:tcPr>
          <w:p>
            <w:pPr>
              <w:rPr>
                <w:rFonts w:hint="eastAsia" w:ascii="宋体" w:hAnsi="宋体" w:eastAsia="宋体" w:cs="宋体"/>
              </w:rPr>
            </w:pPr>
          </w:p>
        </w:tc>
        <w:tc>
          <w:tcPr>
            <w:tcW w:w="10004" w:type="dxa"/>
            <w:vAlign w:val="center"/>
          </w:tcPr>
          <w:p>
            <w:pPr>
              <w:snapToGrid w:val="0"/>
              <w:spacing w:line="280" w:lineRule="exact"/>
              <w:jc w:val="left"/>
              <w:rPr>
                <w:rFonts w:hint="eastAsia" w:ascii="宋体" w:hAnsi="宋体" w:eastAsia="宋体" w:cs="宋体"/>
                <w:color w:val="auto"/>
                <w:sz w:val="21"/>
                <w:szCs w:val="21"/>
                <w:lang w:val="en-US" w:eastAsia="zh-CN"/>
              </w:rPr>
            </w:pPr>
            <w:r>
              <w:rPr>
                <w:rFonts w:hint="eastAsia" w:ascii="宋体" w:hAnsi="宋体" w:eastAsia="宋体" w:cs="宋体"/>
                <w:sz w:val="21"/>
                <w:szCs w:val="21"/>
              </w:rPr>
              <w:t>审核条款：</w:t>
            </w:r>
            <w:r>
              <w:rPr>
                <w:rFonts w:hint="eastAsia" w:ascii="宋体" w:hAnsi="宋体" w:eastAsia="宋体" w:cs="宋体"/>
                <w:color w:val="auto"/>
                <w:sz w:val="21"/>
                <w:szCs w:val="21"/>
                <w:lang w:val="en-US" w:eastAsia="zh-CN"/>
              </w:rPr>
              <w:t>QEO：</w:t>
            </w:r>
            <w:r>
              <w:rPr>
                <w:rFonts w:hint="eastAsia" w:ascii="宋体" w:hAnsi="宋体" w:eastAsia="宋体" w:cs="宋体"/>
                <w:color w:val="auto"/>
                <w:sz w:val="21"/>
                <w:szCs w:val="21"/>
              </w:rPr>
              <w:t>5.3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6.2</w:t>
            </w:r>
            <w:r>
              <w:rPr>
                <w:rFonts w:hint="eastAsia" w:ascii="宋体" w:hAnsi="宋体" w:eastAsia="宋体" w:cs="宋体"/>
                <w:color w:val="auto"/>
                <w:sz w:val="21"/>
                <w:szCs w:val="21"/>
                <w:lang w:val="en-US" w:eastAsia="zh-CN"/>
              </w:rPr>
              <w:t xml:space="preserve">   Q：</w:t>
            </w:r>
            <w:r>
              <w:rPr>
                <w:rFonts w:hint="eastAsia" w:ascii="宋体" w:hAnsi="宋体" w:eastAsia="宋体" w:cs="宋体"/>
                <w:color w:val="auto"/>
                <w:sz w:val="21"/>
                <w:szCs w:val="21"/>
              </w:rPr>
              <w:t>8.1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8.5.1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计量、维修、技术服务</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 xml:space="preserve">    EO：</w:t>
            </w:r>
            <w:r>
              <w:rPr>
                <w:rFonts w:hint="eastAsia" w:ascii="宋体" w:hAnsi="宋体" w:eastAsia="宋体" w:cs="宋体"/>
                <w:color w:val="auto"/>
                <w:sz w:val="21"/>
                <w:szCs w:val="21"/>
              </w:rPr>
              <w:t>6.1.2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6.1.4、8.1、8.2</w:t>
            </w:r>
          </w:p>
          <w:p>
            <w:pPr>
              <w:rPr>
                <w:rFonts w:hint="eastAsia" w:ascii="宋体" w:hAnsi="宋体" w:eastAsia="宋体" w:cs="宋体"/>
                <w:sz w:val="21"/>
                <w:szCs w:val="21"/>
              </w:rPr>
            </w:pPr>
          </w:p>
        </w:tc>
        <w:tc>
          <w:tcPr>
            <w:tcW w:w="1585" w:type="dxa"/>
            <w:vMerge w:val="continue"/>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宋体" w:hAnsi="宋体" w:eastAsia="宋体" w:cs="宋体"/>
                <w:sz w:val="21"/>
                <w:szCs w:val="21"/>
              </w:rPr>
            </w:pPr>
            <w:r>
              <w:rPr>
                <w:rFonts w:hint="eastAsia" w:ascii="宋体" w:hAnsi="宋体" w:eastAsia="宋体" w:cs="宋体"/>
                <w:sz w:val="21"/>
                <w:szCs w:val="21"/>
              </w:rPr>
              <w:t>岗位、职责、权限、责任</w:t>
            </w:r>
          </w:p>
          <w:p>
            <w:pPr>
              <w:rPr>
                <w:rFonts w:hint="eastAsia" w:ascii="宋体" w:hAnsi="宋体" w:eastAsia="宋体" w:cs="宋体"/>
                <w:kern w:val="2"/>
                <w:sz w:val="21"/>
                <w:szCs w:val="21"/>
                <w:lang w:val="en-US" w:eastAsia="zh-CN" w:bidi="ar-SA"/>
              </w:rPr>
            </w:pPr>
          </w:p>
        </w:tc>
        <w:tc>
          <w:tcPr>
            <w:tcW w:w="960" w:type="dxa"/>
            <w:vAlign w:val="top"/>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QEO:5.3</w:t>
            </w:r>
          </w:p>
          <w:p>
            <w:pPr>
              <w:rPr>
                <w:rFonts w:hint="eastAsia" w:ascii="宋体" w:hAnsi="宋体" w:eastAsia="宋体" w:cs="宋体"/>
                <w:sz w:val="21"/>
                <w:szCs w:val="21"/>
                <w:lang w:val="en-US" w:eastAsia="zh-CN"/>
              </w:rPr>
            </w:pPr>
          </w:p>
        </w:tc>
        <w:tc>
          <w:tcPr>
            <w:tcW w:w="10004" w:type="dxa"/>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部门负责人：刘海平     询问主要职责：</w:t>
            </w:r>
          </w:p>
          <w:p>
            <w:pPr>
              <w:spacing w:line="360" w:lineRule="auto"/>
              <w:rPr>
                <w:rFonts w:hint="eastAsia" w:ascii="宋体" w:hAnsi="宋体" w:eastAsia="宋体" w:cs="宋体"/>
                <w:sz w:val="21"/>
                <w:szCs w:val="21"/>
              </w:rPr>
            </w:pPr>
            <w:r>
              <w:rPr>
                <w:rFonts w:hint="eastAsia" w:ascii="宋体" w:hAnsi="宋体" w:eastAsia="宋体" w:cs="宋体"/>
                <w:sz w:val="21"/>
                <w:szCs w:val="21"/>
              </w:rPr>
              <w:t>1）承担本公司开展的各项检验任务，保证原始记录，检测数据的准确、规范；</w:t>
            </w:r>
          </w:p>
          <w:p>
            <w:pPr>
              <w:spacing w:line="360" w:lineRule="auto"/>
              <w:rPr>
                <w:rFonts w:hint="eastAsia" w:ascii="宋体" w:hAnsi="宋体" w:eastAsia="宋体" w:cs="宋体"/>
                <w:sz w:val="21"/>
                <w:szCs w:val="21"/>
              </w:rPr>
            </w:pPr>
            <w:r>
              <w:rPr>
                <w:rFonts w:hint="eastAsia" w:ascii="宋体" w:hAnsi="宋体" w:eastAsia="宋体" w:cs="宋体"/>
                <w:sz w:val="21"/>
                <w:szCs w:val="21"/>
              </w:rPr>
              <w:t>2）完成各类与本部门有关的质量计划的实施（设备、人员、质量控制）；</w:t>
            </w:r>
            <w:bookmarkStart w:id="0" w:name="_GoBack"/>
            <w:bookmarkEnd w:id="0"/>
          </w:p>
          <w:p>
            <w:pPr>
              <w:spacing w:line="360" w:lineRule="auto"/>
              <w:rPr>
                <w:rFonts w:hint="eastAsia" w:ascii="宋体" w:hAnsi="宋体" w:eastAsia="宋体" w:cs="宋体"/>
                <w:sz w:val="21"/>
                <w:szCs w:val="21"/>
              </w:rPr>
            </w:pPr>
            <w:r>
              <w:rPr>
                <w:rFonts w:hint="eastAsia" w:ascii="宋体" w:hAnsi="宋体" w:eastAsia="宋体" w:cs="宋体"/>
                <w:sz w:val="21"/>
                <w:szCs w:val="21"/>
              </w:rPr>
              <w:t>3）负责新项目方法研究，完成开展新项目的相关工作；</w:t>
            </w:r>
          </w:p>
          <w:p>
            <w:pPr>
              <w:spacing w:line="360" w:lineRule="auto"/>
              <w:rPr>
                <w:rFonts w:hint="eastAsia" w:ascii="宋体" w:hAnsi="宋体" w:eastAsia="宋体" w:cs="宋体"/>
                <w:sz w:val="21"/>
                <w:szCs w:val="21"/>
              </w:rPr>
            </w:pPr>
            <w:r>
              <w:rPr>
                <w:rFonts w:hint="eastAsia" w:ascii="宋体" w:hAnsi="宋体" w:eastAsia="宋体" w:cs="宋体"/>
                <w:sz w:val="21"/>
                <w:szCs w:val="21"/>
              </w:rPr>
              <w:t>4）负责相关作业指导书的编制起草工作；</w:t>
            </w:r>
          </w:p>
          <w:p>
            <w:pPr>
              <w:spacing w:line="360" w:lineRule="auto"/>
              <w:rPr>
                <w:rFonts w:hint="eastAsia" w:ascii="宋体" w:hAnsi="宋体" w:eastAsia="宋体" w:cs="宋体"/>
                <w:sz w:val="21"/>
                <w:szCs w:val="21"/>
              </w:rPr>
            </w:pPr>
            <w:r>
              <w:rPr>
                <w:rFonts w:hint="eastAsia" w:ascii="宋体" w:hAnsi="宋体" w:eastAsia="宋体" w:cs="宋体"/>
                <w:sz w:val="21"/>
                <w:szCs w:val="21"/>
              </w:rPr>
              <w:t>5）提出本部门所需仪器、标准物质的购置申请和技术条件要求，并协助检测组做好设备验收、故障原因核查和组织安排维修工作；</w:t>
            </w:r>
          </w:p>
          <w:p>
            <w:pPr>
              <w:spacing w:line="360" w:lineRule="auto"/>
              <w:rPr>
                <w:rFonts w:hint="eastAsia" w:ascii="宋体" w:hAnsi="宋体" w:eastAsia="宋体" w:cs="宋体"/>
                <w:sz w:val="21"/>
                <w:szCs w:val="21"/>
              </w:rPr>
            </w:pPr>
            <w:r>
              <w:rPr>
                <w:rFonts w:hint="eastAsia" w:ascii="宋体" w:hAnsi="宋体" w:eastAsia="宋体" w:cs="宋体"/>
                <w:sz w:val="21"/>
                <w:szCs w:val="21"/>
              </w:rPr>
              <w:t>6）做好设备、设施、标准物质的使用、维护和保养；</w:t>
            </w:r>
          </w:p>
          <w:p>
            <w:pPr>
              <w:spacing w:line="360" w:lineRule="auto"/>
              <w:rPr>
                <w:rFonts w:hint="eastAsia" w:ascii="宋体" w:hAnsi="宋体" w:eastAsia="宋体" w:cs="宋体"/>
                <w:sz w:val="21"/>
                <w:szCs w:val="21"/>
              </w:rPr>
            </w:pPr>
            <w:r>
              <w:rPr>
                <w:rFonts w:hint="eastAsia" w:ascii="宋体" w:hAnsi="宋体" w:eastAsia="宋体" w:cs="宋体"/>
                <w:sz w:val="21"/>
                <w:szCs w:val="21"/>
              </w:rPr>
              <w:t>7）负责测量设备检定/校准周期检定计划的实施；</w:t>
            </w:r>
          </w:p>
          <w:p>
            <w:pPr>
              <w:spacing w:line="360" w:lineRule="auto"/>
              <w:rPr>
                <w:rFonts w:hint="eastAsia" w:ascii="宋体" w:hAnsi="宋体" w:eastAsia="宋体" w:cs="宋体"/>
                <w:sz w:val="21"/>
                <w:szCs w:val="21"/>
              </w:rPr>
            </w:pPr>
            <w:r>
              <w:rPr>
                <w:rFonts w:hint="eastAsia" w:ascii="宋体" w:hAnsi="宋体" w:eastAsia="宋体" w:cs="宋体"/>
                <w:sz w:val="21"/>
                <w:szCs w:val="21"/>
              </w:rPr>
              <w:t>8）负责组织测量设备期间核查计划的实施；</w:t>
            </w:r>
          </w:p>
          <w:p>
            <w:pPr>
              <w:spacing w:line="360" w:lineRule="auto"/>
              <w:rPr>
                <w:rFonts w:hint="eastAsia" w:ascii="宋体" w:hAnsi="宋体" w:eastAsia="宋体" w:cs="宋体"/>
                <w:sz w:val="21"/>
                <w:szCs w:val="21"/>
              </w:rPr>
            </w:pPr>
            <w:r>
              <w:rPr>
                <w:rFonts w:hint="eastAsia" w:ascii="宋体" w:hAnsi="宋体" w:eastAsia="宋体" w:cs="宋体"/>
                <w:sz w:val="21"/>
                <w:szCs w:val="21"/>
              </w:rPr>
              <w:t>9）负责本部门的检测标准的正确使用；</w:t>
            </w:r>
          </w:p>
          <w:p>
            <w:pPr>
              <w:spacing w:line="360" w:lineRule="auto"/>
              <w:rPr>
                <w:rFonts w:hint="eastAsia" w:ascii="宋体" w:hAnsi="宋体" w:eastAsia="宋体" w:cs="宋体"/>
                <w:sz w:val="21"/>
                <w:szCs w:val="21"/>
              </w:rPr>
            </w:pPr>
            <w:r>
              <w:rPr>
                <w:rFonts w:hint="eastAsia" w:ascii="宋体" w:hAnsi="宋体" w:eastAsia="宋体" w:cs="宋体"/>
                <w:sz w:val="21"/>
                <w:szCs w:val="21"/>
              </w:rPr>
              <w:t>10）协助</w:t>
            </w:r>
            <w:r>
              <w:rPr>
                <w:rFonts w:hint="eastAsia" w:ascii="宋体" w:hAnsi="宋体" w:eastAsia="宋体" w:cs="宋体"/>
                <w:sz w:val="21"/>
                <w:szCs w:val="21"/>
                <w:lang w:val="en-US" w:eastAsia="zh-CN"/>
              </w:rPr>
              <w:t>质量技术部</w:t>
            </w:r>
            <w:r>
              <w:rPr>
                <w:rFonts w:hint="eastAsia" w:ascii="宋体" w:hAnsi="宋体" w:eastAsia="宋体" w:cs="宋体"/>
                <w:sz w:val="21"/>
                <w:szCs w:val="21"/>
              </w:rPr>
              <w:t>对新检验方法的验证与变更确认；</w:t>
            </w:r>
          </w:p>
          <w:p>
            <w:pPr>
              <w:spacing w:line="360" w:lineRule="auto"/>
              <w:rPr>
                <w:rFonts w:hint="eastAsia" w:ascii="宋体" w:hAnsi="宋体" w:eastAsia="宋体" w:cs="宋体"/>
                <w:sz w:val="21"/>
                <w:szCs w:val="21"/>
              </w:rPr>
            </w:pPr>
            <w:r>
              <w:rPr>
                <w:rFonts w:hint="eastAsia" w:ascii="宋体" w:hAnsi="宋体" w:eastAsia="宋体" w:cs="宋体"/>
                <w:sz w:val="21"/>
                <w:szCs w:val="21"/>
              </w:rPr>
              <w:t>11）参与检测工作有影响的消耗品的验收工作；</w:t>
            </w:r>
          </w:p>
          <w:p>
            <w:pPr>
              <w:spacing w:line="360" w:lineRule="auto"/>
              <w:rPr>
                <w:rFonts w:hint="eastAsia" w:ascii="宋体" w:hAnsi="宋体" w:eastAsia="宋体" w:cs="宋体"/>
                <w:sz w:val="21"/>
                <w:szCs w:val="21"/>
              </w:rPr>
            </w:pPr>
            <w:r>
              <w:rPr>
                <w:rFonts w:hint="eastAsia" w:ascii="宋体" w:hAnsi="宋体" w:eastAsia="宋体" w:cs="宋体"/>
                <w:sz w:val="21"/>
                <w:szCs w:val="21"/>
              </w:rPr>
              <w:t>12）组织能力验证和内部质量控制计划的实施；</w:t>
            </w:r>
          </w:p>
          <w:p>
            <w:pPr>
              <w:spacing w:line="360" w:lineRule="auto"/>
              <w:rPr>
                <w:rFonts w:hint="eastAsia" w:ascii="宋体" w:hAnsi="宋体" w:eastAsia="宋体" w:cs="宋体"/>
                <w:sz w:val="21"/>
                <w:szCs w:val="21"/>
              </w:rPr>
            </w:pPr>
            <w:r>
              <w:rPr>
                <w:rFonts w:hint="eastAsia" w:ascii="宋体" w:hAnsi="宋体" w:eastAsia="宋体" w:cs="宋体"/>
                <w:sz w:val="21"/>
                <w:szCs w:val="21"/>
              </w:rPr>
              <w:t>13）完成公司领导交办的其他工作。</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部门职责清晰、明确。</w:t>
            </w:r>
            <w:r>
              <w:rPr>
                <w:rFonts w:hint="eastAsia" w:ascii="宋体" w:hAnsi="宋体" w:eastAsia="宋体" w:cs="宋体"/>
                <w:sz w:val="21"/>
                <w:szCs w:val="21"/>
                <w:lang w:val="en-US" w:eastAsia="zh-CN"/>
              </w:rPr>
              <w:t>专业计量室</w:t>
            </w:r>
            <w:r>
              <w:rPr>
                <w:rFonts w:hint="eastAsia" w:ascii="宋体" w:hAnsi="宋体" w:eastAsia="宋体" w:cs="宋体"/>
                <w:sz w:val="21"/>
                <w:szCs w:val="21"/>
              </w:rPr>
              <w:t>负责人能基本阐述本部门的主要职责。</w:t>
            </w:r>
          </w:p>
        </w:tc>
        <w:tc>
          <w:tcPr>
            <w:tcW w:w="1585" w:type="dxa"/>
          </w:tcPr>
          <w:p>
            <w:pPr>
              <w:rPr>
                <w:rFonts w:hint="eastAsia" w:ascii="宋体" w:hAnsi="宋体" w:eastAsia="宋体" w:cs="宋体"/>
              </w:rPr>
            </w:pPr>
            <w:r>
              <w:rPr>
                <w:rFonts w:hint="eastAsia" w:ascii="宋体" w:hAnsi="宋体" w:eastAsia="宋体" w:cs="宋体"/>
              </w:rPr>
              <w:t>Y</w:t>
            </w:r>
          </w:p>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spacing w:line="360" w:lineRule="auto"/>
              <w:rPr>
                <w:rFonts w:hint="eastAsia" w:ascii="楷体" w:hAnsi="楷体" w:eastAsia="楷体" w:cs="宋体"/>
                <w:kern w:val="0"/>
                <w:sz w:val="24"/>
                <w:szCs w:val="24"/>
              </w:rPr>
            </w:pPr>
          </w:p>
          <w:p>
            <w:pPr>
              <w:spacing w:line="360" w:lineRule="auto"/>
              <w:rPr>
                <w:rFonts w:hint="eastAsia" w:ascii="楷体" w:hAnsi="楷体" w:eastAsia="楷体" w:cs="宋体"/>
                <w:kern w:val="0"/>
                <w:sz w:val="24"/>
                <w:szCs w:val="24"/>
              </w:rPr>
            </w:pPr>
          </w:p>
          <w:p>
            <w:pPr>
              <w:spacing w:line="360" w:lineRule="auto"/>
              <w:rPr>
                <w:rFonts w:hint="eastAsia" w:ascii="楷体" w:hAnsi="楷体" w:eastAsia="楷体" w:cs="宋体"/>
                <w:kern w:val="0"/>
                <w:sz w:val="24"/>
                <w:szCs w:val="24"/>
              </w:rPr>
            </w:pPr>
          </w:p>
          <w:p>
            <w:pPr>
              <w:spacing w:line="360" w:lineRule="auto"/>
              <w:rPr>
                <w:rFonts w:hint="eastAsia" w:ascii="楷体" w:hAnsi="楷体" w:eastAsia="楷体" w:cs="宋体"/>
                <w:kern w:val="0"/>
                <w:sz w:val="24"/>
                <w:szCs w:val="24"/>
              </w:rPr>
            </w:pPr>
          </w:p>
          <w:p>
            <w:pPr>
              <w:spacing w:line="360" w:lineRule="auto"/>
              <w:rPr>
                <w:rFonts w:hint="eastAsia" w:ascii="楷体" w:hAnsi="楷体" w:eastAsia="楷体" w:cs="宋体"/>
                <w:kern w:val="0"/>
                <w:sz w:val="24"/>
                <w:szCs w:val="24"/>
              </w:rPr>
            </w:pPr>
          </w:p>
          <w:p>
            <w:pPr>
              <w:spacing w:line="360" w:lineRule="auto"/>
              <w:rPr>
                <w:rFonts w:ascii="楷体" w:hAnsi="楷体" w:eastAsia="楷体" w:cs="宋体"/>
                <w:kern w:val="0"/>
                <w:sz w:val="24"/>
                <w:szCs w:val="24"/>
              </w:rPr>
            </w:pPr>
            <w:r>
              <w:rPr>
                <w:rFonts w:hint="eastAsia" w:ascii="楷体" w:hAnsi="楷体" w:eastAsia="楷体" w:cs="宋体"/>
                <w:kern w:val="0"/>
                <w:sz w:val="24"/>
                <w:szCs w:val="24"/>
              </w:rPr>
              <w:t>目标</w:t>
            </w:r>
          </w:p>
          <w:p>
            <w:pPr>
              <w:spacing w:line="360" w:lineRule="auto"/>
              <w:rPr>
                <w:rFonts w:hint="eastAsia" w:ascii="宋体" w:hAnsi="宋体" w:eastAsia="宋体" w:cs="宋体"/>
                <w:kern w:val="2"/>
                <w:sz w:val="21"/>
                <w:szCs w:val="21"/>
                <w:lang w:val="en-US" w:eastAsia="zh-CN" w:bidi="ar-SA"/>
              </w:rPr>
            </w:pPr>
          </w:p>
        </w:tc>
        <w:tc>
          <w:tcPr>
            <w:tcW w:w="960" w:type="dxa"/>
            <w:vAlign w:val="top"/>
          </w:tcPr>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ascii="楷体" w:hAnsi="楷体" w:eastAsia="楷体" w:cs="宋体"/>
                <w:bCs/>
                <w:sz w:val="24"/>
                <w:szCs w:val="24"/>
              </w:rPr>
            </w:pPr>
            <w:r>
              <w:rPr>
                <w:rFonts w:hint="eastAsia" w:ascii="宋体" w:hAnsi="宋体" w:cs="Arial"/>
                <w:szCs w:val="21"/>
              </w:rPr>
              <w:t>QEO：</w:t>
            </w:r>
            <w:r>
              <w:rPr>
                <w:rFonts w:hint="eastAsia" w:ascii="宋体" w:hAnsi="宋体" w:cs="新宋体"/>
                <w:szCs w:val="21"/>
              </w:rPr>
              <w:t>6.2</w:t>
            </w:r>
          </w:p>
          <w:p>
            <w:pPr>
              <w:spacing w:line="360" w:lineRule="auto"/>
              <w:rPr>
                <w:rFonts w:hint="eastAsia" w:ascii="宋体" w:hAnsi="宋体" w:eastAsia="宋体" w:cs="宋体"/>
                <w:sz w:val="21"/>
                <w:szCs w:val="21"/>
                <w:lang w:val="en-US" w:eastAsia="zh-CN"/>
              </w:rPr>
            </w:pPr>
          </w:p>
        </w:tc>
        <w:tc>
          <w:tcPr>
            <w:tcW w:w="10004" w:type="dxa"/>
            <w:vAlign w:val="top"/>
          </w:tcPr>
          <w:p>
            <w:pPr>
              <w:spacing w:line="360" w:lineRule="auto"/>
              <w:rPr>
                <w:rFonts w:hint="eastAsia" w:ascii="宋体" w:hAnsi="宋体" w:eastAsia="宋体" w:cs="宋体"/>
                <w:sz w:val="21"/>
                <w:szCs w:val="21"/>
              </w:rPr>
            </w:pPr>
            <w:r>
              <w:rPr>
                <w:rFonts w:hint="eastAsia" w:ascii="宋体" w:hAnsi="宋体" w:eastAsia="宋体" w:cs="宋体"/>
                <w:sz w:val="21"/>
                <w:szCs w:val="21"/>
              </w:rPr>
              <w:t>查有公司公司级管理目标，并按照部门对目标进行分解，有目标管理管理规定，规定了目标的分解及考核的具体方法。</w:t>
            </w:r>
          </w:p>
          <w:p>
            <w:pPr>
              <w:spacing w:line="360" w:lineRule="auto"/>
              <w:rPr>
                <w:rFonts w:hint="eastAsia" w:ascii="宋体" w:hAnsi="宋体" w:eastAsia="宋体" w:cs="宋体"/>
                <w:sz w:val="21"/>
                <w:szCs w:val="21"/>
              </w:rPr>
            </w:pPr>
            <w:r>
              <w:rPr>
                <w:rFonts w:hint="eastAsia" w:ascii="宋体" w:hAnsi="宋体" w:eastAsia="宋体" w:cs="宋体"/>
                <w:sz w:val="21"/>
                <w:szCs w:val="21"/>
              </w:rPr>
              <w:t>1)检测数据合格率:98％</w:t>
            </w:r>
          </w:p>
          <w:p>
            <w:pPr>
              <w:spacing w:line="360" w:lineRule="auto"/>
              <w:rPr>
                <w:rFonts w:hint="eastAsia" w:ascii="宋体" w:hAnsi="宋体" w:eastAsia="宋体" w:cs="宋体"/>
                <w:sz w:val="21"/>
                <w:szCs w:val="21"/>
              </w:rPr>
            </w:pPr>
            <w:r>
              <w:rPr>
                <w:rFonts w:hint="eastAsia" w:ascii="宋体" w:hAnsi="宋体" w:eastAsia="宋体" w:cs="宋体"/>
                <w:sz w:val="21"/>
                <w:szCs w:val="21"/>
              </w:rPr>
              <w:t>2)在用检测仪器合格率:100％</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)计量设备送检率:100％</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)证书/报告差错率&lt;5‰ ；</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)顾客满意度:≥95％</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)年度培训计划执行率:100％</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)危废处置率:100％</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)火灾事故为:0</w:t>
            </w:r>
          </w:p>
          <w:p>
            <w:pPr>
              <w:tabs>
                <w:tab w:val="center" w:pos="3169"/>
              </w:tabs>
              <w:spacing w:line="360" w:lineRule="auto"/>
              <w:jc w:val="both"/>
              <w:rPr>
                <w:rFonts w:hint="eastAsia" w:ascii="宋体" w:hAnsi="宋体" w:eastAsia="宋体" w:cs="宋体"/>
                <w:sz w:val="21"/>
                <w:szCs w:val="21"/>
              </w:rPr>
            </w:pPr>
            <w:r>
              <w:rPr>
                <w:rFonts w:hint="eastAsia" w:ascii="宋体" w:hAnsi="宋体" w:eastAsia="宋体" w:cs="宋体"/>
                <w:sz w:val="21"/>
                <w:szCs w:val="21"/>
              </w:rPr>
              <w:t>20</w:t>
            </w:r>
            <w:r>
              <w:rPr>
                <w:rFonts w:hint="eastAsia" w:ascii="宋体" w:hAnsi="宋体" w:cs="宋体"/>
                <w:sz w:val="21"/>
                <w:szCs w:val="21"/>
                <w:lang w:val="en-US" w:eastAsia="zh-CN"/>
              </w:rPr>
              <w:t>21</w:t>
            </w:r>
            <w:r>
              <w:rPr>
                <w:rFonts w:hint="eastAsia" w:ascii="宋体" w:hAnsi="宋体" w:eastAsia="宋体" w:cs="宋体"/>
                <w:sz w:val="21"/>
                <w:szCs w:val="21"/>
              </w:rPr>
              <w:t>.</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6</w:t>
            </w:r>
            <w:r>
              <w:rPr>
                <w:rFonts w:hint="eastAsia" w:ascii="宋体" w:hAnsi="宋体" w:eastAsia="宋体" w:cs="宋体"/>
                <w:sz w:val="21"/>
                <w:szCs w:val="21"/>
              </w:rPr>
              <w:t>考核情况：经查已完成。</w:t>
            </w:r>
          </w:p>
        </w:tc>
        <w:tc>
          <w:tcPr>
            <w:tcW w:w="1585" w:type="dxa"/>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环境因素识别，危险源辨识、风险评估及控制措施</w:t>
            </w:r>
          </w:p>
        </w:tc>
        <w:tc>
          <w:tcPr>
            <w:tcW w:w="960" w:type="dxa"/>
            <w:vAlign w:val="top"/>
          </w:tcPr>
          <w:p>
            <w:pPr>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EO:6.1.2/6.1.4</w:t>
            </w:r>
          </w:p>
        </w:tc>
        <w:tc>
          <w:tcPr>
            <w:tcW w:w="10004" w:type="dxa"/>
            <w:vAlign w:val="top"/>
          </w:tcPr>
          <w:p>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根据</w:t>
            </w:r>
            <w:r>
              <w:rPr>
                <w:rFonts w:hint="eastAsia" w:ascii="宋体" w:hAnsi="宋体" w:eastAsia="宋体" w:cs="宋体"/>
                <w:bCs/>
                <w:sz w:val="21"/>
                <w:szCs w:val="21"/>
              </w:rPr>
              <w:t>公司制订《环境因素识别与评价控制程序》和《危险源识别与风险评价控制程序》，</w:t>
            </w:r>
            <w:r>
              <w:rPr>
                <w:rFonts w:hint="eastAsia" w:ascii="宋体" w:hAnsi="宋体" w:eastAsia="宋体" w:cs="宋体"/>
                <w:bCs/>
                <w:sz w:val="21"/>
                <w:szCs w:val="21"/>
                <w:lang w:val="en-US" w:eastAsia="zh-CN"/>
              </w:rPr>
              <w:t>专业计量室</w:t>
            </w:r>
            <w:r>
              <w:rPr>
                <w:rFonts w:hint="eastAsia" w:ascii="宋体" w:hAnsi="宋体" w:eastAsia="宋体" w:cs="宋体"/>
                <w:bCs/>
                <w:sz w:val="21"/>
                <w:szCs w:val="21"/>
              </w:rPr>
              <w:t>根据</w:t>
            </w:r>
            <w:r>
              <w:rPr>
                <w:rFonts w:hint="eastAsia" w:ascii="宋体" w:hAnsi="宋体" w:eastAsia="宋体" w:cs="宋体"/>
                <w:bCs/>
                <w:sz w:val="21"/>
                <w:szCs w:val="21"/>
                <w:lang w:val="en-US" w:eastAsia="zh-CN"/>
              </w:rPr>
              <w:t>计量设备检测</w:t>
            </w:r>
            <w:r>
              <w:rPr>
                <w:rFonts w:hint="eastAsia" w:ascii="宋体" w:hAnsi="宋体" w:eastAsia="宋体" w:cs="宋体"/>
                <w:bCs/>
                <w:sz w:val="21"/>
                <w:szCs w:val="21"/>
              </w:rPr>
              <w:t>过程及工作特点对涉及的环境因素、危险源进行了识别和辨识。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该</w:t>
            </w:r>
            <w:r>
              <w:rPr>
                <w:rFonts w:hint="eastAsia" w:ascii="宋体" w:hAnsi="宋体" w:eastAsia="宋体" w:cs="宋体"/>
                <w:sz w:val="21"/>
                <w:szCs w:val="21"/>
                <w:lang w:val="en-US" w:eastAsia="zh-CN"/>
              </w:rPr>
              <w:t>部门</w:t>
            </w:r>
            <w:r>
              <w:rPr>
                <w:rFonts w:hint="eastAsia" w:ascii="宋体" w:hAnsi="宋体" w:eastAsia="宋体" w:cs="宋体"/>
                <w:sz w:val="21"/>
                <w:szCs w:val="21"/>
              </w:rPr>
              <w:t>“重要环境因素清单”，重要环境因素为日常办公过程中固体废弃物排放、火灾事故的发生等2项重要环境因素。</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控制措施：固废分类存放、办公危废交耗材供应公司，垃圾由环卫部门拉走，包装物分类卖掉，日常培训，日常检查，配备消防器材等措施。</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提供“危险源辨识和风险评价一览表”，</w:t>
            </w:r>
            <w:r>
              <w:rPr>
                <w:rFonts w:hint="eastAsia" w:ascii="宋体" w:hAnsi="宋体" w:eastAsia="宋体" w:cs="宋体"/>
                <w:sz w:val="21"/>
                <w:szCs w:val="21"/>
                <w:lang w:val="en-US" w:eastAsia="zh-CN"/>
              </w:rPr>
              <w:t>该</w:t>
            </w:r>
            <w:r>
              <w:rPr>
                <w:rFonts w:hint="eastAsia" w:ascii="宋体" w:hAnsi="宋体" w:eastAsia="宋体" w:cs="宋体"/>
                <w:sz w:val="21"/>
                <w:szCs w:val="21"/>
              </w:rPr>
              <w:t>部门的危险源有办公活动过程中电脑辐射、被桌柜撞伤、线路老化触电、火灾等。经评价本部门重大危险源：电器使用操作不当引起的触电、火灾事故。</w:t>
            </w:r>
          </w:p>
          <w:p>
            <w:pPr>
              <w:spacing w:line="360" w:lineRule="auto"/>
              <w:ind w:firstLine="420" w:firstLineChars="200"/>
              <w:rPr>
                <w:rFonts w:hint="eastAsia" w:ascii="宋体" w:hAnsi="宋体" w:eastAsia="宋体" w:cs="宋体"/>
                <w:bCs/>
                <w:spacing w:val="10"/>
                <w:kern w:val="2"/>
                <w:sz w:val="21"/>
                <w:szCs w:val="21"/>
                <w:highlight w:val="none"/>
                <w:lang w:val="en-US" w:eastAsia="zh-CN" w:bidi="ar-SA"/>
              </w:rPr>
            </w:pPr>
            <w:r>
              <w:rPr>
                <w:rFonts w:hint="eastAsia" w:ascii="宋体" w:hAnsi="宋体" w:eastAsia="宋体" w:cs="宋体"/>
                <w:sz w:val="21"/>
                <w:szCs w:val="21"/>
              </w:rPr>
              <w:t>危险源控制执行管理方案、配备消防器材、个体防护、日常检查、日常培训教育等运行控制措施等。</w:t>
            </w:r>
          </w:p>
        </w:tc>
        <w:tc>
          <w:tcPr>
            <w:tcW w:w="1585" w:type="dxa"/>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top"/>
          </w:tcPr>
          <w:p>
            <w:pPr>
              <w:pStyle w:val="25"/>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环境和职业健康安全运行控制</w:t>
            </w:r>
          </w:p>
        </w:tc>
        <w:tc>
          <w:tcPr>
            <w:tcW w:w="960" w:type="dxa"/>
            <w:vAlign w:val="top"/>
          </w:tcPr>
          <w:p>
            <w:pPr>
              <w:rPr>
                <w:rFonts w:hint="eastAsia" w:ascii="宋体" w:hAnsi="宋体" w:eastAsia="宋体" w:cs="宋体"/>
                <w:szCs w:val="21"/>
              </w:rPr>
            </w:pPr>
            <w:r>
              <w:rPr>
                <w:rFonts w:hint="eastAsia" w:ascii="宋体" w:hAnsi="宋体" w:eastAsia="宋体" w:cs="宋体"/>
                <w:szCs w:val="21"/>
              </w:rPr>
              <w:t>E8.1 </w:t>
            </w:r>
          </w:p>
          <w:p>
            <w:pPr>
              <w:rPr>
                <w:rFonts w:hint="eastAsia" w:ascii="宋体" w:hAnsi="宋体" w:eastAsia="宋体" w:cs="宋体"/>
                <w:bCs/>
                <w:color w:val="auto"/>
                <w:spacing w:val="10"/>
                <w:kern w:val="2"/>
                <w:sz w:val="21"/>
                <w:szCs w:val="21"/>
                <w:highlight w:val="none"/>
                <w:lang w:val="en-US" w:eastAsia="zh-CN" w:bidi="ar-SA"/>
              </w:rPr>
            </w:pPr>
            <w:r>
              <w:rPr>
                <w:rFonts w:hint="eastAsia" w:ascii="宋体" w:hAnsi="宋体" w:eastAsia="宋体" w:cs="宋体"/>
                <w:szCs w:val="21"/>
              </w:rPr>
              <w:t>S8.1</w:t>
            </w:r>
          </w:p>
        </w:tc>
        <w:tc>
          <w:tcPr>
            <w:tcW w:w="10004" w:type="dxa"/>
            <w:vAlign w:val="top"/>
          </w:tcPr>
          <w:p>
            <w:pPr>
              <w:spacing w:line="360" w:lineRule="auto"/>
              <w:ind w:firstLine="420" w:firstLineChars="200"/>
              <w:rPr>
                <w:rFonts w:hint="eastAsia" w:ascii="宋体" w:hAnsi="宋体" w:cs="Times New Roman"/>
                <w:szCs w:val="22"/>
                <w:lang w:val="en-US" w:eastAsia="zh-CN"/>
              </w:rPr>
            </w:pPr>
            <w:r>
              <w:rPr>
                <w:rFonts w:hint="eastAsia" w:ascii="宋体" w:hAnsi="宋体" w:cs="Times New Roman"/>
                <w:szCs w:val="22"/>
                <w:lang w:val="en-US" w:eastAsia="zh-CN"/>
              </w:rPr>
              <w:t>本部门办公中产生的废弃物，由综合办公室统一处理。对可回收的固体废弃物，一部分由厂家回收，厂家不回收的公司统一回收再利用或由物资回收公司处理，不可回收的废弃物由公司综合办公室统一处理。</w:t>
            </w:r>
          </w:p>
          <w:p>
            <w:pPr>
              <w:spacing w:line="360" w:lineRule="auto"/>
              <w:ind w:firstLine="420" w:firstLineChars="200"/>
              <w:rPr>
                <w:rFonts w:hint="eastAsia" w:ascii="宋体" w:hAnsi="宋体" w:cs="Times New Roman"/>
                <w:szCs w:val="22"/>
                <w:lang w:val="en-US" w:eastAsia="zh-CN"/>
              </w:rPr>
            </w:pPr>
            <w:r>
              <w:rPr>
                <w:rFonts w:hint="eastAsia" w:ascii="宋体" w:hAnsi="宋体" w:cs="Times New Roman"/>
                <w:szCs w:val="22"/>
                <w:lang w:val="en-US" w:eastAsia="zh-CN"/>
              </w:rPr>
              <w:t>检测去现场时注意碰伤、砸伤、滑倒等人身伤害，进入实验室必须穿戴工作服和劳保用品，遵守环保制度，禁止吸烟，垃圾放入分类垃圾箱。</w:t>
            </w:r>
          </w:p>
          <w:p>
            <w:pPr>
              <w:spacing w:line="360" w:lineRule="auto"/>
              <w:ind w:firstLine="420" w:firstLineChars="200"/>
              <w:rPr>
                <w:rFonts w:hint="eastAsia" w:ascii="宋体" w:hAnsi="宋体" w:cs="Times New Roman"/>
                <w:szCs w:val="22"/>
                <w:lang w:val="en-US" w:eastAsia="zh-CN"/>
              </w:rPr>
            </w:pPr>
            <w:r>
              <w:rPr>
                <w:rFonts w:hint="eastAsia" w:ascii="宋体" w:hAnsi="宋体" w:cs="Times New Roman"/>
                <w:szCs w:val="22"/>
                <w:lang w:val="en-US" w:eastAsia="zh-CN"/>
              </w:rPr>
              <w:t>实验室干净整洁，仪器摆放整齐，有分类垃圾桶。</w:t>
            </w:r>
          </w:p>
          <w:p>
            <w:pPr>
              <w:spacing w:line="360" w:lineRule="auto"/>
              <w:ind w:firstLine="420" w:firstLineChars="200"/>
              <w:rPr>
                <w:rFonts w:hint="eastAsia" w:ascii="宋体" w:hAnsi="宋体" w:cs="Times New Roman"/>
                <w:szCs w:val="22"/>
                <w:lang w:val="en-US" w:eastAsia="zh-CN"/>
              </w:rPr>
            </w:pPr>
            <w:r>
              <w:rPr>
                <w:rFonts w:hint="eastAsia" w:ascii="宋体" w:hAnsi="宋体" w:cs="Times New Roman"/>
                <w:szCs w:val="22"/>
                <w:lang w:val="en-US" w:eastAsia="zh-CN"/>
              </w:rPr>
              <w:t>检测过程使用的废液统一放置交有资质能力的公司处理，提供《实验室废液处理协议》，由西安崎峰化工有限公司负责处理。</w:t>
            </w:r>
          </w:p>
          <w:p>
            <w:pPr>
              <w:snapToGri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安全、环保、消防日常检查记录，提供安全、内务管理监督检查记录，每月检查一次。</w:t>
            </w:r>
          </w:p>
          <w:p>
            <w:pPr>
              <w:snapToGrid w:val="0"/>
              <w:spacing w:line="360" w:lineRule="auto"/>
              <w:rPr>
                <w:rFonts w:hint="eastAsia" w:ascii="宋体" w:hAnsi="宋体" w:eastAsia="宋体" w:cs="宋体"/>
                <w:lang w:val="en-US" w:eastAsia="zh-CN"/>
              </w:rPr>
            </w:pPr>
            <w:r>
              <w:rPr>
                <w:rFonts w:hint="eastAsia" w:ascii="宋体" w:hAnsi="宋体" w:eastAsia="宋体" w:cs="宋体"/>
                <w:sz w:val="21"/>
                <w:szCs w:val="21"/>
                <w:lang w:val="en-US" w:eastAsia="zh-CN"/>
              </w:rPr>
              <w:t>环保和职业健康安全防护方面的控制管理基本有效。</w:t>
            </w:r>
          </w:p>
        </w:tc>
        <w:tc>
          <w:tcPr>
            <w:tcW w:w="1585" w:type="dxa"/>
          </w:tcPr>
          <w:p>
            <w:pPr>
              <w:rPr>
                <w:rFonts w:hint="eastAsia" w:ascii="宋体" w:hAnsi="宋体" w:eastAsia="宋体" w:cs="宋体"/>
              </w:rPr>
            </w:pPr>
          </w:p>
          <w:p>
            <w:pPr>
              <w:pStyle w:val="4"/>
              <w:rPr>
                <w:rFonts w:hint="eastAsia" w:ascii="宋体" w:hAnsi="宋体" w:eastAsia="宋体" w:cs="宋体"/>
              </w:rPr>
            </w:pPr>
          </w:p>
          <w:p>
            <w:pPr>
              <w:pStyle w:val="5"/>
              <w:rPr>
                <w:rFonts w:hint="eastAsia" w:ascii="宋体" w:hAnsi="宋体" w:eastAsia="宋体" w:cs="宋体"/>
                <w:lang w:val="en-US" w:eastAsia="zh-CN"/>
              </w:rPr>
            </w:pPr>
            <w:r>
              <w:rPr>
                <w:rFonts w:hint="eastAsia" w:ascii="宋体" w:hAnsi="宋体" w:eastAsia="宋体" w:cs="宋体"/>
                <w:lang w:val="en-US" w:eastAsia="zh-CN"/>
              </w:rPr>
              <w:t>Y</w:t>
            </w:r>
          </w:p>
          <w:p>
            <w:pPr>
              <w:pStyle w:val="7"/>
              <w:rPr>
                <w:rFonts w:hint="eastAsia" w:ascii="宋体" w:hAnsi="宋体" w:eastAsia="宋体" w:cs="宋体"/>
              </w:rPr>
            </w:pPr>
          </w:p>
          <w:p>
            <w:pPr>
              <w:rPr>
                <w:rFonts w:hint="eastAsia" w:ascii="宋体" w:hAnsi="宋体" w:eastAsia="宋体" w:cs="宋体"/>
              </w:rPr>
            </w:pPr>
          </w:p>
          <w:p>
            <w:pPr>
              <w:pStyle w:val="4"/>
              <w:rPr>
                <w:rFonts w:hint="eastAsia" w:ascii="宋体" w:hAnsi="宋体" w:eastAsia="宋体" w:cs="宋体"/>
              </w:rPr>
            </w:pPr>
          </w:p>
          <w:p>
            <w:pPr>
              <w:pStyle w:val="5"/>
              <w:rPr>
                <w:rFonts w:hint="eastAsia" w:ascii="宋体" w:hAnsi="宋体" w:eastAsia="宋体" w:cs="宋体"/>
              </w:rPr>
            </w:pPr>
          </w:p>
          <w:p>
            <w:pPr>
              <w:rPr>
                <w:rFonts w:hint="eastAsia" w:ascii="宋体" w:hAnsi="宋体" w:eastAsia="宋体" w:cs="宋体"/>
              </w:rPr>
            </w:pPr>
          </w:p>
          <w:p>
            <w:pPr>
              <w:pStyle w:val="4"/>
              <w:rPr>
                <w:rFonts w:hint="eastAsia" w:ascii="宋体" w:hAnsi="宋体" w:eastAsia="宋体" w:cs="宋体"/>
              </w:rPr>
            </w:pPr>
          </w:p>
          <w:p>
            <w:pPr>
              <w:pStyle w:val="5"/>
              <w:rPr>
                <w:rFonts w:hint="eastAsia" w:ascii="宋体" w:hAnsi="宋体" w:eastAsia="宋体" w:cs="宋体"/>
              </w:rPr>
            </w:pPr>
          </w:p>
          <w:p>
            <w:pPr>
              <w:pStyle w:val="7"/>
              <w:rPr>
                <w:rFonts w:hint="eastAsia" w:ascii="宋体" w:hAnsi="宋体" w:eastAsia="宋体" w:cs="宋体"/>
              </w:rPr>
            </w:pPr>
          </w:p>
          <w:p>
            <w:pPr>
              <w:pStyle w:val="4"/>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highlight w:val="none"/>
                <w:lang w:val="en-US" w:eastAsia="zh-CN"/>
              </w:rPr>
              <w:t>应急准备和响应</w:t>
            </w:r>
          </w:p>
        </w:tc>
        <w:tc>
          <w:tcPr>
            <w:tcW w:w="960" w:type="dxa"/>
            <w:vAlign w:val="top"/>
          </w:tcPr>
          <w:p>
            <w:pPr>
              <w:rPr>
                <w:rFonts w:hint="eastAsia" w:ascii="宋体" w:hAnsi="宋体" w:eastAsia="宋体" w:cs="宋体"/>
                <w:bCs/>
                <w:kern w:val="2"/>
                <w:sz w:val="21"/>
                <w:szCs w:val="21"/>
                <w:highlight w:val="none"/>
                <w:lang w:val="en-US" w:eastAsia="zh-CN" w:bidi="ar-SA"/>
              </w:rPr>
            </w:pPr>
            <w:r>
              <w:rPr>
                <w:rFonts w:hint="eastAsia" w:ascii="宋体" w:hAnsi="宋体" w:eastAsia="宋体" w:cs="宋体"/>
                <w:sz w:val="21"/>
                <w:szCs w:val="21"/>
                <w:highlight w:val="none"/>
                <w:lang w:val="en-US" w:eastAsia="zh-CN"/>
              </w:rPr>
              <w:t>EO8.2</w:t>
            </w:r>
          </w:p>
        </w:tc>
        <w:tc>
          <w:tcPr>
            <w:tcW w:w="10004" w:type="dxa"/>
            <w:vAlign w:val="top"/>
          </w:tcPr>
          <w:p>
            <w:pPr>
              <w:pStyle w:val="25"/>
              <w:rPr>
                <w:rFonts w:hint="eastAsia" w:ascii="宋体" w:hAnsi="宋体" w:eastAsia="宋体" w:cs="宋体"/>
                <w:sz w:val="21"/>
                <w:szCs w:val="21"/>
              </w:rPr>
            </w:pPr>
          </w:p>
          <w:p>
            <w:pPr>
              <w:pStyle w:val="25"/>
              <w:rPr>
                <w:rFonts w:hint="eastAsia" w:ascii="宋体" w:hAnsi="宋体" w:eastAsia="宋体" w:cs="宋体"/>
                <w:sz w:val="21"/>
                <w:szCs w:val="21"/>
              </w:rPr>
            </w:pPr>
            <w:r>
              <w:rPr>
                <w:rFonts w:hint="eastAsia" w:ascii="宋体" w:hAnsi="宋体" w:eastAsia="宋体" w:cs="宋体"/>
                <w:sz w:val="21"/>
                <w:szCs w:val="21"/>
              </w:rPr>
              <w:t>20</w:t>
            </w:r>
            <w:r>
              <w:rPr>
                <w:rFonts w:hint="eastAsia" w:ascii="宋体" w:hAnsi="宋体" w:cs="宋体"/>
                <w:sz w:val="21"/>
                <w:szCs w:val="21"/>
                <w:lang w:val="en-US" w:eastAsia="zh-CN"/>
              </w:rPr>
              <w:t>20</w:t>
            </w:r>
            <w:r>
              <w:rPr>
                <w:rFonts w:hint="eastAsia" w:ascii="宋体" w:hAnsi="宋体" w:eastAsia="宋体" w:cs="宋体"/>
                <w:sz w:val="21"/>
                <w:szCs w:val="21"/>
              </w:rPr>
              <w:t>.</w:t>
            </w:r>
            <w:r>
              <w:rPr>
                <w:rFonts w:hint="eastAsia" w:ascii="宋体" w:hAnsi="宋体" w:cs="宋体"/>
                <w:sz w:val="21"/>
                <w:szCs w:val="21"/>
                <w:lang w:val="en-US" w:eastAsia="zh-CN"/>
              </w:rPr>
              <w:t>8</w:t>
            </w:r>
            <w:r>
              <w:rPr>
                <w:rFonts w:hint="eastAsia" w:ascii="宋体" w:hAnsi="宋体" w:eastAsia="宋体" w:cs="宋体"/>
                <w:sz w:val="21"/>
                <w:szCs w:val="21"/>
              </w:rPr>
              <w:t>.</w:t>
            </w:r>
            <w:r>
              <w:rPr>
                <w:rFonts w:hint="eastAsia" w:ascii="宋体" w:hAnsi="宋体" w:cs="宋体"/>
                <w:sz w:val="21"/>
                <w:szCs w:val="21"/>
                <w:lang w:val="en-US" w:eastAsia="zh-CN"/>
              </w:rPr>
              <w:t>18</w:t>
            </w:r>
            <w:r>
              <w:rPr>
                <w:rFonts w:hint="eastAsia" w:ascii="宋体" w:hAnsi="宋体" w:eastAsia="宋体" w:cs="宋体"/>
                <w:sz w:val="21"/>
                <w:szCs w:val="21"/>
              </w:rPr>
              <w:t>日</w:t>
            </w:r>
            <w:r>
              <w:rPr>
                <w:rFonts w:hint="eastAsia" w:ascii="宋体" w:hAnsi="宋体" w:eastAsia="宋体" w:cs="宋体"/>
                <w:sz w:val="21"/>
                <w:szCs w:val="21"/>
                <w:lang w:val="en-US" w:eastAsia="zh-CN"/>
              </w:rPr>
              <w:t>专业计量室</w:t>
            </w:r>
            <w:r>
              <w:rPr>
                <w:rFonts w:hint="eastAsia" w:ascii="宋体" w:hAnsi="宋体" w:eastAsia="宋体" w:cs="宋体"/>
                <w:sz w:val="21"/>
                <w:szCs w:val="21"/>
              </w:rPr>
              <w:t>人员参与了公司组织的消防应急预案演练，通过演练学到了应急和救援的知识，基本符合。</w:t>
            </w:r>
          </w:p>
          <w:p>
            <w:pPr>
              <w:ind w:firstLine="420" w:firstLineChars="200"/>
              <w:rPr>
                <w:rFonts w:hint="eastAsia" w:ascii="宋体" w:hAnsi="宋体" w:eastAsia="宋体" w:cs="宋体"/>
                <w:bCs w:val="0"/>
                <w:spacing w:val="0"/>
                <w:kern w:val="2"/>
                <w:sz w:val="21"/>
                <w:szCs w:val="22"/>
                <w:lang w:val="en-US" w:eastAsia="zh-CN" w:bidi="ar-SA"/>
              </w:rPr>
            </w:pPr>
          </w:p>
        </w:tc>
        <w:tc>
          <w:tcPr>
            <w:tcW w:w="1585" w:type="dxa"/>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spacing w:line="360" w:lineRule="auto"/>
              <w:rPr>
                <w:rFonts w:hint="eastAsia" w:ascii="楷体" w:hAnsi="楷体" w:eastAsia="楷体" w:cs="Arial"/>
                <w:bCs/>
                <w:color w:val="auto"/>
                <w:sz w:val="24"/>
                <w:szCs w:val="24"/>
              </w:rPr>
            </w:pPr>
          </w:p>
          <w:p>
            <w:pPr>
              <w:spacing w:line="360" w:lineRule="auto"/>
              <w:rPr>
                <w:rFonts w:hint="eastAsia" w:ascii="楷体" w:hAnsi="楷体" w:eastAsia="楷体" w:cs="Arial"/>
                <w:bCs/>
                <w:color w:val="auto"/>
                <w:sz w:val="24"/>
                <w:szCs w:val="24"/>
              </w:rPr>
            </w:pPr>
          </w:p>
          <w:p>
            <w:pPr>
              <w:spacing w:line="360" w:lineRule="auto"/>
              <w:rPr>
                <w:rFonts w:hint="eastAsia" w:ascii="楷体" w:hAnsi="楷体" w:eastAsia="楷体" w:cs="Arial"/>
                <w:bCs/>
                <w:color w:val="auto"/>
                <w:sz w:val="24"/>
                <w:szCs w:val="24"/>
              </w:rPr>
            </w:pPr>
          </w:p>
          <w:p>
            <w:pPr>
              <w:spacing w:line="360" w:lineRule="auto"/>
              <w:rPr>
                <w:rFonts w:ascii="楷体" w:hAnsi="楷体" w:eastAsia="楷体" w:cs="Arial"/>
                <w:bCs/>
                <w:color w:val="auto"/>
                <w:sz w:val="24"/>
                <w:szCs w:val="24"/>
              </w:rPr>
            </w:pPr>
            <w:r>
              <w:rPr>
                <w:rFonts w:hint="eastAsia" w:ascii="楷体" w:hAnsi="楷体" w:eastAsia="楷体" w:cs="Arial"/>
                <w:bCs/>
                <w:color w:val="auto"/>
                <w:sz w:val="24"/>
                <w:szCs w:val="24"/>
              </w:rPr>
              <w:t>运行的策划和控制</w:t>
            </w:r>
          </w:p>
          <w:p>
            <w:pPr>
              <w:spacing w:line="360" w:lineRule="auto"/>
              <w:rPr>
                <w:rFonts w:hint="eastAsia" w:ascii="楷体" w:hAnsi="楷体" w:eastAsia="楷体" w:cs="宋体"/>
                <w:color w:val="auto"/>
                <w:kern w:val="2"/>
                <w:sz w:val="24"/>
                <w:szCs w:val="24"/>
                <w:lang w:val="en-US" w:eastAsia="zh-CN" w:bidi="ar-SA"/>
              </w:rPr>
            </w:pPr>
          </w:p>
        </w:tc>
        <w:tc>
          <w:tcPr>
            <w:tcW w:w="960" w:type="dxa"/>
            <w:vAlign w:val="top"/>
          </w:tcPr>
          <w:p>
            <w:pPr>
              <w:spacing w:line="360" w:lineRule="auto"/>
              <w:rPr>
                <w:rFonts w:hint="eastAsia" w:ascii="楷体" w:hAnsi="楷体" w:eastAsia="楷体" w:cs="Arial"/>
                <w:color w:val="auto"/>
                <w:sz w:val="24"/>
                <w:szCs w:val="24"/>
              </w:rPr>
            </w:pPr>
          </w:p>
          <w:p>
            <w:pPr>
              <w:spacing w:line="360" w:lineRule="auto"/>
              <w:rPr>
                <w:rFonts w:hint="eastAsia" w:ascii="楷体" w:hAnsi="楷体" w:eastAsia="楷体" w:cs="Arial"/>
                <w:color w:val="auto"/>
                <w:sz w:val="24"/>
                <w:szCs w:val="24"/>
              </w:rPr>
            </w:pPr>
          </w:p>
          <w:p>
            <w:pPr>
              <w:spacing w:line="360" w:lineRule="auto"/>
              <w:rPr>
                <w:rFonts w:hint="eastAsia" w:ascii="楷体" w:hAnsi="楷体" w:eastAsia="楷体" w:cs="Arial"/>
                <w:color w:val="auto"/>
                <w:sz w:val="24"/>
                <w:szCs w:val="24"/>
              </w:rPr>
            </w:pPr>
          </w:p>
          <w:p>
            <w:pPr>
              <w:spacing w:line="360" w:lineRule="auto"/>
              <w:rPr>
                <w:rFonts w:hint="eastAsia" w:ascii="楷体" w:hAnsi="楷体" w:eastAsia="楷体" w:cs="宋体"/>
                <w:color w:val="auto"/>
                <w:kern w:val="2"/>
                <w:sz w:val="24"/>
                <w:szCs w:val="24"/>
                <w:lang w:val="en-US" w:eastAsia="zh-CN" w:bidi="ar-SA"/>
              </w:rPr>
            </w:pPr>
            <w:r>
              <w:rPr>
                <w:rFonts w:hint="eastAsia" w:ascii="宋体" w:hAnsi="宋体" w:eastAsia="宋体" w:cs="宋体"/>
                <w:color w:val="auto"/>
                <w:sz w:val="24"/>
                <w:szCs w:val="24"/>
              </w:rPr>
              <w:t>Q</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8.1</w:t>
            </w:r>
            <w:r>
              <w:rPr>
                <w:rFonts w:ascii="楷体" w:hAnsi="楷体" w:eastAsia="楷体" w:cs="Arial"/>
                <w:color w:val="auto"/>
                <w:sz w:val="24"/>
                <w:szCs w:val="24"/>
              </w:rPr>
              <w:t xml:space="preserve"> </w:t>
            </w:r>
          </w:p>
        </w:tc>
        <w:tc>
          <w:tcPr>
            <w:tcW w:w="10004" w:type="dxa"/>
            <w:vAlign w:val="top"/>
          </w:tcPr>
          <w:p>
            <w:pPr>
              <w:keepNext w:val="0"/>
              <w:keepLines w:val="0"/>
              <w:widowControl/>
              <w:suppressLineNumbers w:val="0"/>
              <w:spacing w:line="360" w:lineRule="auto"/>
              <w:jc w:val="left"/>
              <w:rPr>
                <w:rFonts w:hint="eastAsia" w:ascii="宋体" w:hAnsi="宋体" w:eastAsia="宋体" w:cs="宋体"/>
                <w:color w:val="auto"/>
                <w:sz w:val="21"/>
                <w:szCs w:val="21"/>
                <w:lang w:val="en-US" w:eastAsia="zh-CN"/>
              </w:rPr>
            </w:pPr>
            <w:r>
              <w:rPr>
                <w:rFonts w:hint="eastAsia" w:eastAsia="宋体" w:cs="宋体"/>
                <w:b w:val="0"/>
                <w:bCs w:val="0"/>
                <w:color w:val="auto"/>
                <w:sz w:val="21"/>
                <w:szCs w:val="21"/>
                <w:lang w:val="en-US" w:eastAsia="zh-CN"/>
              </w:rPr>
              <w:t>依</w:t>
            </w:r>
            <w:r>
              <w:rPr>
                <w:rFonts w:hint="eastAsia" w:ascii="宋体" w:hAnsi="宋体" w:eastAsia="宋体" w:cs="宋体"/>
                <w:color w:val="auto"/>
                <w:sz w:val="21"/>
                <w:szCs w:val="21"/>
                <w:lang w:val="en-US" w:eastAsia="zh-CN"/>
              </w:rPr>
              <w:t>据中国合格评定国家认可委员会颁发的《实验室认可证书》，认可的检测校准能力范围，公司可面对社会开展几何量、热工、力学、电磁、化学等五大专业计量领域的智能设备、工业设备、机电产品、电子产品、仪器仪表的计量校准/检测/检定工作。</w:t>
            </w:r>
          </w:p>
          <w:p>
            <w:pPr>
              <w:pStyle w:val="14"/>
              <w:numPr>
                <w:ilvl w:val="0"/>
                <w:numId w:val="0"/>
              </w:numPr>
              <w:spacing w:line="360" w:lineRule="auto"/>
              <w:ind w:firstLine="210" w:firstLineChars="10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依据客户</w:t>
            </w:r>
            <w:r>
              <w:rPr>
                <w:rFonts w:hint="eastAsia" w:eastAsia="宋体" w:cs="宋体"/>
                <w:b w:val="0"/>
                <w:bCs w:val="0"/>
                <w:color w:val="auto"/>
                <w:sz w:val="21"/>
                <w:szCs w:val="21"/>
                <w:lang w:val="en-US" w:eastAsia="zh-CN"/>
              </w:rPr>
              <w:t>计量设备的</w:t>
            </w:r>
            <w:r>
              <w:rPr>
                <w:rFonts w:hint="eastAsia" w:ascii="宋体" w:hAnsi="宋体" w:eastAsia="宋体" w:cs="宋体"/>
                <w:b w:val="0"/>
                <w:bCs w:val="0"/>
                <w:color w:val="auto"/>
                <w:sz w:val="21"/>
                <w:szCs w:val="21"/>
              </w:rPr>
              <w:t>技术要求、识别计量校准检测规范</w:t>
            </w:r>
            <w:r>
              <w:rPr>
                <w:rFonts w:hint="eastAsia" w:ascii="宋体" w:hAnsi="宋体" w:eastAsia="宋体" w:cs="宋体"/>
                <w:b w:val="0"/>
                <w:bCs w:val="0"/>
                <w:color w:val="auto"/>
                <w:sz w:val="21"/>
                <w:szCs w:val="21"/>
                <w:lang w:eastAsia="zh-CN"/>
              </w:rPr>
              <w:t>、编制了计量器具检测校准、计量仪器仪表的维修及技术服务</w:t>
            </w:r>
            <w:r>
              <w:rPr>
                <w:rFonts w:hint="eastAsia" w:eastAsia="宋体" w:cs="宋体"/>
                <w:b w:val="0"/>
                <w:bCs w:val="0"/>
                <w:color w:val="auto"/>
                <w:sz w:val="21"/>
                <w:szCs w:val="21"/>
                <w:lang w:val="en-US" w:eastAsia="zh-CN"/>
              </w:rPr>
              <w:t>规范</w:t>
            </w:r>
            <w:r>
              <w:rPr>
                <w:rFonts w:hint="eastAsia" w:ascii="宋体" w:hAnsi="宋体" w:eastAsia="宋体" w:cs="宋体"/>
                <w:b w:val="0"/>
                <w:bCs w:val="0"/>
                <w:color w:val="auto"/>
                <w:sz w:val="21"/>
                <w:szCs w:val="21"/>
                <w:lang w:eastAsia="zh-CN"/>
              </w:rPr>
              <w:t>；</w:t>
            </w:r>
          </w:p>
          <w:p>
            <w:pPr>
              <w:pStyle w:val="14"/>
              <w:numPr>
                <w:ilvl w:val="0"/>
                <w:numId w:val="0"/>
              </w:numPr>
              <w:spacing w:line="360" w:lineRule="auto"/>
              <w:ind w:leftChars="0" w:firstLine="420" w:firstLineChars="200"/>
              <w:rPr>
                <w:rFonts w:hint="eastAsia"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针对公司服务过程、开展的各项检验任务，制定了原始记录，检测数据的准确、规范、规定了检测校准、研发、维修产品的检验验收准则</w:t>
            </w:r>
            <w:r>
              <w:rPr>
                <w:rFonts w:hint="eastAsia" w:eastAsia="宋体" w:cs="宋体"/>
                <w:b w:val="0"/>
                <w:bCs w:val="0"/>
                <w:color w:val="auto"/>
                <w:sz w:val="21"/>
                <w:szCs w:val="21"/>
                <w:lang w:eastAsia="zh-CN"/>
              </w:rPr>
              <w:t>。</w:t>
            </w:r>
          </w:p>
          <w:p>
            <w:pPr>
              <w:pStyle w:val="14"/>
              <w:numPr>
                <w:ilvl w:val="0"/>
                <w:numId w:val="0"/>
              </w:numPr>
              <w:spacing w:line="360" w:lineRule="auto"/>
              <w:rPr>
                <w:rFonts w:hint="eastAsia" w:ascii="宋体" w:hAnsi="宋体" w:eastAsia="宋体" w:cs="宋体"/>
                <w:b w:val="0"/>
                <w:bCs w:val="0"/>
                <w:color w:val="auto"/>
                <w:sz w:val="21"/>
                <w:szCs w:val="21"/>
                <w:lang w:eastAsia="zh-CN"/>
              </w:rPr>
            </w:pPr>
            <w:r>
              <w:rPr>
                <w:rFonts w:hint="eastAsia"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lang w:eastAsia="zh-CN"/>
              </w:rPr>
              <w:t>开检测项目需仪器、标准物质、技术条件要求、设备验收、故障原因核查和维修工作的技术规范、测量设备检定/校准周期检定、测量设备期间核查计划的制定、新检验方法的验证与变更确认。</w:t>
            </w:r>
          </w:p>
          <w:p>
            <w:pPr>
              <w:numPr>
                <w:ilvl w:val="0"/>
                <w:numId w:val="0"/>
              </w:numPr>
              <w:spacing w:line="360" w:lineRule="auto"/>
              <w:rPr>
                <w:rFonts w:ascii="楷体" w:hAnsi="楷体" w:eastAsia="楷体" w:cs="宋体"/>
                <w:color w:val="auto"/>
                <w:sz w:val="24"/>
                <w:szCs w:val="24"/>
              </w:rPr>
            </w:pPr>
            <w:r>
              <w:rPr>
                <w:rFonts w:hint="eastAsia" w:ascii="宋体" w:hAnsi="宋体" w:eastAsia="宋体" w:cs="宋体"/>
                <w:b/>
                <w:bCs/>
                <w:color w:val="auto"/>
                <w:sz w:val="21"/>
                <w:szCs w:val="21"/>
              </w:rPr>
              <w:t>产品主要执行标准</w:t>
            </w:r>
            <w:r>
              <w:rPr>
                <w:rFonts w:hint="eastAsia" w:ascii="楷体" w:hAnsi="楷体" w:eastAsia="楷体" w:cs="宋体"/>
                <w:color w:val="auto"/>
                <w:sz w:val="24"/>
                <w:szCs w:val="24"/>
              </w:rPr>
              <w:t>：</w:t>
            </w:r>
          </w:p>
          <w:p>
            <w:pPr>
              <w:spacing w:line="36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JJG 205-2005机械式温湿度计检定规程</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JJG（苏）99-2010数字温湿度计检定规程</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JJF(苏)96-2010蒸汽灭菌器温度、压力校准规范</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JJG 130-2011工作用玻璃液体温度计、JJG 226-2001双金属温度计检定规程</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JJF 1183-2007温度变送器校准规范、JJG 617-1996数字温度指示调节仪检定规程</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JJF 1637-2017廉金属热电偶校准规范</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JJG 368-2000工作用铜-铜镍热电偶计检定规程</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JJF 1262-2010铠装热电偶校准规范、JJG 229-2010工业铂、铜热电阻检定规程、JJG 310-2002压力式温度计计检定规程</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JJG 131-2004电接点玻璃水银温度计检定规程、JJG 874-2007温度指示控制仪计检定规程、JJF 1171-2007温度巡回检测仪校准规范、JJG（浙）76-2004数字温度计、JJG 951-2000模拟式温度指示调节仪检定规程、JJG 74-2005工业过程测量记录仪检定规程、JJF 1101-2003环境试验设备温度、湿度校准规范、JJF 1030-2010恒温槽技术性测试规范、JJF 1587-2016数字多用表校准规范、JJG 124-2005电流表、电压表、功率表及电阻表检定规程、JJG 1005-2005电子式绝缘电阻表、JJG 622-1997绝缘电阻表（兆欧表）检定规程、JJG 795-2016耐电压测试仪检定规程、JJF(电子)0004-2015安规综合测试仪校准规范、JJF 1075-2015钳形电流表校准规范、JJG 1036-2008电子天平检定规程、JJG 98-2006机械天平检定规程 、JJG 156-2016架盘天平检定规程、JJG 539-2016数字指示秤检定规程、JJG 13-2016模拟指示秤检定规程、JJG 14-2016非自行指示秤检定规程、JJG 241-2002精密杯型和U型液体压力计检定规程、JJG 172-2011倾斜式微压计等</w:t>
            </w:r>
            <w:r>
              <w:rPr>
                <w:rFonts w:hint="eastAsia" w:ascii="宋体" w:hAnsi="宋体" w:eastAsia="宋体" w:cs="宋体"/>
                <w:color w:val="auto"/>
                <w:kern w:val="0"/>
                <w:sz w:val="21"/>
                <w:szCs w:val="21"/>
                <w:lang w:val="en-US" w:eastAsia="zh-CN" w:bidi="ar"/>
              </w:rPr>
              <w:t>等184个检定规程及规范</w:t>
            </w:r>
            <w:r>
              <w:rPr>
                <w:rFonts w:hint="eastAsia" w:ascii="宋体" w:hAnsi="宋体" w:eastAsia="宋体" w:cs="宋体"/>
                <w:color w:val="auto"/>
                <w:sz w:val="21"/>
                <w:szCs w:val="21"/>
              </w:rPr>
              <w:t>进行</w:t>
            </w:r>
            <w:r>
              <w:rPr>
                <w:rFonts w:hint="eastAsia" w:ascii="宋体" w:hAnsi="宋体" w:eastAsia="宋体" w:cs="宋体"/>
                <w:color w:val="auto"/>
                <w:sz w:val="21"/>
                <w:szCs w:val="21"/>
                <w:lang w:val="en-US" w:eastAsia="zh-CN"/>
              </w:rPr>
              <w:t>检测和</w:t>
            </w:r>
            <w:r>
              <w:rPr>
                <w:rFonts w:hint="eastAsia" w:ascii="宋体" w:hAnsi="宋体" w:eastAsia="宋体" w:cs="宋体"/>
                <w:color w:val="auto"/>
                <w:sz w:val="21"/>
                <w:szCs w:val="21"/>
              </w:rPr>
              <w:t>研发服务，编制了相应的过程文件</w:t>
            </w:r>
            <w:r>
              <w:rPr>
                <w:rFonts w:hint="eastAsia" w:ascii="宋体" w:hAnsi="宋体" w:cs="宋体"/>
                <w:color w:val="auto"/>
                <w:sz w:val="21"/>
                <w:szCs w:val="21"/>
                <w:lang w:eastAsia="zh-CN"/>
              </w:rPr>
              <w:t>。</w:t>
            </w:r>
          </w:p>
          <w:p>
            <w:pPr>
              <w:keepNext w:val="0"/>
              <w:keepLines w:val="0"/>
              <w:widowControl/>
              <w:suppressLineNumbers w:val="0"/>
              <w:spacing w:line="360" w:lineRule="auto"/>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工艺流程</w:t>
            </w:r>
          </w:p>
          <w:p>
            <w:pPr>
              <w:keepNext w:val="0"/>
              <w:keepLines w:val="0"/>
              <w:widowControl/>
              <w:suppressLineNumbers w:val="0"/>
              <w:spacing w:line="360" w:lineRule="auto"/>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检测/校准服务</w:t>
            </w:r>
            <w:r>
              <w:rPr>
                <w:rFonts w:hint="eastAsia" w:ascii="宋体" w:hAnsi="宋体" w:cs="宋体"/>
                <w:color w:val="auto"/>
                <w:kern w:val="0"/>
                <w:sz w:val="21"/>
                <w:szCs w:val="21"/>
                <w:lang w:val="en-US" w:eastAsia="zh-CN" w:bidi="ar"/>
              </w:rPr>
              <w:t>、维修</w:t>
            </w:r>
            <w:r>
              <w:rPr>
                <w:rFonts w:hint="eastAsia" w:ascii="宋体" w:hAnsi="宋体" w:eastAsia="宋体" w:cs="宋体"/>
                <w:color w:val="auto"/>
                <w:kern w:val="0"/>
                <w:sz w:val="21"/>
                <w:szCs w:val="21"/>
                <w:lang w:val="en-US" w:eastAsia="zh-CN" w:bidi="ar"/>
              </w:rPr>
              <w:t>流程</w:t>
            </w:r>
          </w:p>
          <w:p>
            <w:pPr>
              <w:keepNext w:val="0"/>
              <w:keepLines w:val="0"/>
              <w:widowControl/>
              <w:suppressLineNumbers w:val="0"/>
              <w:spacing w:line="360" w:lineRule="auto"/>
              <w:jc w:val="left"/>
              <w:rPr>
                <w:rFonts w:ascii="楷体" w:hAnsi="楷体" w:eastAsia="楷体" w:cs="宋体"/>
                <w:color w:val="auto"/>
                <w:sz w:val="24"/>
                <w:szCs w:val="24"/>
              </w:rPr>
            </w:pPr>
            <w:r>
              <w:rPr>
                <w:rFonts w:hint="eastAsia" w:ascii="宋体" w:hAnsi="宋体" w:eastAsia="宋体" w:cs="宋体"/>
                <w:color w:val="auto"/>
                <w:kern w:val="0"/>
                <w:sz w:val="21"/>
                <w:szCs w:val="21"/>
                <w:lang w:val="en-US" w:eastAsia="zh-CN" w:bidi="ar"/>
              </w:rPr>
              <w:t>委托检测→签订委托协议→</w:t>
            </w:r>
            <w:r>
              <w:rPr>
                <w:rFonts w:hint="eastAsia" w:ascii="宋体" w:hAnsi="宋体" w:cs="宋体"/>
                <w:color w:val="auto"/>
                <w:kern w:val="0"/>
                <w:sz w:val="21"/>
                <w:szCs w:val="21"/>
                <w:lang w:val="en-US" w:eastAsia="zh-CN" w:bidi="ar"/>
              </w:rPr>
              <w:t>综合办公室</w:t>
            </w:r>
            <w:r>
              <w:rPr>
                <w:rFonts w:hint="eastAsia" w:ascii="宋体" w:hAnsi="宋体" w:eastAsia="宋体" w:cs="宋体"/>
                <w:color w:val="auto"/>
                <w:kern w:val="0"/>
                <w:sz w:val="21"/>
                <w:szCs w:val="21"/>
                <w:lang w:val="en-US" w:eastAsia="zh-CN" w:bidi="ar"/>
              </w:rPr>
              <w:t>受理</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接收</w:t>
            </w:r>
            <w:r>
              <w:rPr>
                <w:rFonts w:hint="eastAsia" w:ascii="宋体" w:hAnsi="宋体" w:cs="宋体"/>
                <w:color w:val="auto"/>
                <w:kern w:val="0"/>
                <w:sz w:val="21"/>
                <w:szCs w:val="21"/>
                <w:lang w:val="en-US" w:eastAsia="zh-CN" w:bidi="ar"/>
              </w:rPr>
              <w:t>计量设备</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维修（如需要）</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计量设备校准</w:t>
            </w:r>
            <w:r>
              <w:rPr>
                <w:rFonts w:hint="eastAsia" w:ascii="宋体" w:hAnsi="宋体" w:eastAsia="宋体" w:cs="宋体"/>
                <w:color w:val="auto"/>
                <w:kern w:val="0"/>
                <w:sz w:val="21"/>
                <w:szCs w:val="21"/>
                <w:lang w:val="en-US" w:eastAsia="zh-CN" w:bidi="ar"/>
              </w:rPr>
              <w:t>→填写原始记录→原始数据校对与审核→检测报告编制、审核与签发</w:t>
            </w:r>
            <w:r>
              <w:rPr>
                <w:rFonts w:hint="eastAsia" w:ascii="宋体" w:hAnsi="宋体" w:cs="宋体"/>
                <w:color w:val="auto"/>
                <w:kern w:val="0"/>
                <w:sz w:val="21"/>
                <w:szCs w:val="21"/>
                <w:lang w:val="en-US" w:eastAsia="zh-CN" w:bidi="ar"/>
              </w:rPr>
              <w:t>。</w:t>
            </w:r>
          </w:p>
          <w:p>
            <w:pPr>
              <w:spacing w:line="36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为实现质量目标配置了相应人员</w:t>
            </w:r>
            <w:r>
              <w:rPr>
                <w:rFonts w:hint="eastAsia" w:ascii="宋体" w:hAnsi="宋体" w:eastAsia="宋体" w:cs="宋体"/>
                <w:b w:val="0"/>
                <w:bCs w:val="0"/>
                <w:color w:val="auto"/>
                <w:sz w:val="21"/>
                <w:szCs w:val="21"/>
              </w:rPr>
              <w:t>（如</w:t>
            </w:r>
            <w:r>
              <w:rPr>
                <w:rFonts w:hint="eastAsia" w:ascii="宋体" w:hAnsi="宋体" w:eastAsia="宋体" w:cs="宋体"/>
                <w:b w:val="0"/>
                <w:bCs w:val="0"/>
                <w:color w:val="auto"/>
                <w:sz w:val="21"/>
                <w:szCs w:val="21"/>
                <w:lang w:val="en-US" w:eastAsia="zh-CN"/>
              </w:rPr>
              <w:t>业务</w:t>
            </w:r>
            <w:r>
              <w:rPr>
                <w:rFonts w:hint="eastAsia" w:ascii="宋体" w:hAnsi="宋体" w:eastAsia="宋体" w:cs="宋体"/>
                <w:b w:val="0"/>
                <w:bCs w:val="0"/>
                <w:color w:val="auto"/>
                <w:sz w:val="21"/>
                <w:szCs w:val="21"/>
              </w:rPr>
              <w:t>人员</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技术人员均为大专或以上学历</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试验室人员持有操作作业证书、上岗前经过岗前培训，</w:t>
            </w:r>
            <w:r>
              <w:rPr>
                <w:rFonts w:hint="eastAsia" w:ascii="宋体" w:hAnsi="宋体" w:eastAsia="宋体" w:cs="宋体"/>
                <w:b w:val="0"/>
                <w:bCs w:val="0"/>
                <w:color w:val="auto"/>
                <w:sz w:val="21"/>
                <w:szCs w:val="21"/>
                <w:lang w:val="en-US" w:eastAsia="zh-CN"/>
              </w:rPr>
              <w:t>检测</w:t>
            </w:r>
            <w:r>
              <w:rPr>
                <w:rFonts w:hint="eastAsia" w:ascii="宋体" w:hAnsi="宋体" w:eastAsia="宋体" w:cs="宋体"/>
                <w:b w:val="0"/>
                <w:bCs w:val="0"/>
                <w:color w:val="auto"/>
                <w:sz w:val="21"/>
                <w:szCs w:val="21"/>
              </w:rPr>
              <w:t>人员均经过专业培训等)</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见</w:t>
            </w:r>
            <w:r>
              <w:rPr>
                <w:rFonts w:hint="eastAsia" w:ascii="宋体" w:hAnsi="宋体" w:eastAsia="宋体" w:cs="宋体"/>
                <w:b w:val="0"/>
                <w:bCs w:val="0"/>
                <w:color w:val="auto"/>
                <w:kern w:val="0"/>
                <w:sz w:val="21"/>
                <w:szCs w:val="21"/>
              </w:rPr>
              <w:t>7.1.2</w:t>
            </w:r>
            <w:r>
              <w:rPr>
                <w:rFonts w:hint="eastAsia" w:ascii="宋体" w:hAnsi="宋体" w:eastAsia="宋体" w:cs="宋体"/>
                <w:b w:val="0"/>
                <w:bCs w:val="0"/>
                <w:color w:val="auto"/>
                <w:sz w:val="21"/>
                <w:szCs w:val="21"/>
              </w:rPr>
              <w:t>记录条款</w:t>
            </w:r>
            <w:r>
              <w:rPr>
                <w:rFonts w:hint="eastAsia" w:ascii="宋体" w:hAnsi="宋体" w:eastAsia="宋体" w:cs="宋体"/>
                <w:b w:val="0"/>
                <w:bCs w:val="0"/>
                <w:color w:val="auto"/>
                <w:sz w:val="21"/>
                <w:szCs w:val="21"/>
                <w:lang w:eastAsia="zh-CN"/>
              </w:rPr>
              <w:t>。</w:t>
            </w:r>
          </w:p>
          <w:p>
            <w:pPr>
              <w:spacing w:line="360" w:lineRule="auto"/>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检测</w:t>
            </w:r>
            <w:r>
              <w:rPr>
                <w:rFonts w:hint="eastAsia" w:ascii="宋体" w:hAnsi="宋体" w:eastAsia="宋体" w:cs="宋体"/>
                <w:b/>
                <w:bCs/>
                <w:color w:val="auto"/>
                <w:sz w:val="21"/>
                <w:szCs w:val="21"/>
              </w:rPr>
              <w:t>设备</w:t>
            </w:r>
            <w:r>
              <w:rPr>
                <w:rFonts w:hint="eastAsia" w:ascii="宋体" w:hAnsi="宋体" w:cs="宋体"/>
                <w:b/>
                <w:bCs/>
                <w:color w:val="auto"/>
                <w:sz w:val="21"/>
                <w:szCs w:val="21"/>
                <w:lang w:val="en-US" w:eastAsia="zh-CN"/>
              </w:rPr>
              <w:t>管理</w:t>
            </w:r>
            <w:r>
              <w:rPr>
                <w:rFonts w:hint="eastAsia" w:ascii="宋体" w:hAnsi="宋体" w:eastAsia="宋体" w:cs="宋体"/>
                <w:b/>
                <w:bCs/>
                <w:color w:val="auto"/>
                <w:sz w:val="21"/>
                <w:szCs w:val="21"/>
              </w:rPr>
              <w:t>：</w:t>
            </w:r>
            <w:r>
              <w:rPr>
                <w:rFonts w:hint="eastAsia" w:ascii="宋体" w:hAnsi="宋体" w:eastAsia="宋体" w:cs="宋体"/>
                <w:b w:val="0"/>
                <w:bCs w:val="0"/>
                <w:color w:val="auto"/>
                <w:sz w:val="21"/>
                <w:szCs w:val="21"/>
                <w:lang w:val="en-US" w:eastAsia="zh-CN"/>
              </w:rPr>
              <w:t>编制了</w:t>
            </w:r>
            <w:r>
              <w:rPr>
                <w:rFonts w:hint="eastAsia" w:ascii="宋体" w:hAnsi="宋体" w:eastAsia="宋体" w:cs="宋体"/>
                <w:b w:val="0"/>
                <w:bCs w:val="0"/>
                <w:color w:val="auto"/>
                <w:sz w:val="21"/>
                <w:szCs w:val="21"/>
              </w:rPr>
              <w:t>《设备的使用、管理与维护程序》《仪器设备、标准物质期间核查程序》、《设备的校准/检测/检定和计量溯源程序》《标准物质管理程序》，规范设备、仪器、标准物质的采购、使用、维护、校准、检测、检定、核查和处置。</w:t>
            </w:r>
          </w:p>
          <w:p>
            <w:pPr>
              <w:spacing w:line="360" w:lineRule="auto"/>
              <w:rPr>
                <w:rFonts w:hint="eastAsia" w:ascii="宋体" w:hAnsi="宋体" w:eastAsia="宋体" w:cs="宋体"/>
                <w:bCs/>
                <w:color w:val="auto"/>
                <w:sz w:val="21"/>
                <w:szCs w:val="21"/>
              </w:rPr>
            </w:pPr>
            <w:r>
              <w:rPr>
                <w:rFonts w:hint="eastAsia" w:ascii="宋体" w:hAnsi="宋体" w:eastAsia="宋体" w:cs="宋体"/>
                <w:b/>
                <w:bCs w:val="0"/>
                <w:color w:val="auto"/>
                <w:sz w:val="21"/>
                <w:szCs w:val="21"/>
              </w:rPr>
              <w:t>办公设备</w:t>
            </w:r>
            <w:r>
              <w:rPr>
                <w:rFonts w:hint="eastAsia" w:ascii="宋体" w:hAnsi="宋体" w:eastAsia="宋体" w:cs="宋体"/>
                <w:bCs/>
                <w:color w:val="auto"/>
                <w:sz w:val="21"/>
                <w:szCs w:val="21"/>
              </w:rPr>
              <w:t>：电脑、打印机、传真机、电话等。提供维修保养计划及记录，满足要求。</w:t>
            </w:r>
          </w:p>
          <w:p>
            <w:pPr>
              <w:pStyle w:val="24"/>
              <w:numPr>
                <w:ilvl w:val="0"/>
                <w:numId w:val="0"/>
              </w:numPr>
              <w:spacing w:line="360" w:lineRule="auto"/>
              <w:ind w:leftChars="0"/>
              <w:rPr>
                <w:rFonts w:hint="eastAsia" w:ascii="宋体" w:hAnsi="宋体" w:eastAsia="宋体" w:cs="宋体"/>
                <w:color w:val="auto"/>
                <w:sz w:val="21"/>
                <w:szCs w:val="21"/>
              </w:rPr>
            </w:pPr>
            <w:r>
              <w:rPr>
                <w:rFonts w:hint="eastAsia" w:ascii="宋体" w:hAnsi="宋体" w:eastAsia="宋体" w:cs="宋体"/>
                <w:b/>
                <w:bCs/>
                <w:color w:val="auto"/>
                <w:sz w:val="21"/>
                <w:szCs w:val="21"/>
              </w:rPr>
              <w:t>编制了相应的作业文件</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管理制度</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rPr>
              <w:t>：</w:t>
            </w:r>
          </w:p>
          <w:p>
            <w:pPr>
              <w:spacing w:line="360" w:lineRule="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标准物质、</w:t>
            </w:r>
            <w:r>
              <w:rPr>
                <w:rFonts w:hint="eastAsia" w:ascii="宋体" w:hAnsi="宋体" w:eastAsia="宋体" w:cs="宋体"/>
                <w:b w:val="0"/>
                <w:bCs w:val="0"/>
                <w:color w:val="auto"/>
                <w:sz w:val="21"/>
                <w:szCs w:val="21"/>
                <w:lang w:val="en-US" w:eastAsia="zh-CN"/>
              </w:rPr>
              <w:t>试验室</w:t>
            </w:r>
            <w:r>
              <w:rPr>
                <w:rFonts w:hint="eastAsia" w:ascii="宋体" w:hAnsi="宋体" w:eastAsia="宋体" w:cs="宋体"/>
                <w:b w:val="0"/>
                <w:bCs w:val="0"/>
                <w:color w:val="auto"/>
                <w:sz w:val="21"/>
                <w:szCs w:val="21"/>
              </w:rPr>
              <w:t>管理制度</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样品室管理制度</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质量监督工作规范</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检测用计算机及软件管理规范</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实验室安全管理规范</w:t>
            </w:r>
            <w:r>
              <w:rPr>
                <w:rFonts w:hint="eastAsia" w:asciiTheme="minorEastAsia" w:hAnsiTheme="minorEastAsia" w:eastAsiaTheme="minorEastAsia"/>
                <w:color w:val="auto"/>
                <w:lang w:eastAsia="zh-CN"/>
              </w:rPr>
              <w:t>、</w:t>
            </w:r>
            <w:r>
              <w:rPr>
                <w:rFonts w:hint="eastAsia" w:asciiTheme="minorEastAsia" w:hAnsiTheme="minorEastAsia" w:eastAsiaTheme="minorEastAsia"/>
                <w:color w:val="auto"/>
              </w:rPr>
              <w:t>校准/检测/检定结果的质量控制程序</w:t>
            </w:r>
            <w:r>
              <w:rPr>
                <w:rFonts w:hint="eastAsia" w:ascii="宋体" w:hAnsi="宋体" w:eastAsia="宋体" w:cs="宋体"/>
                <w:b w:val="0"/>
                <w:bCs w:val="0"/>
                <w:color w:val="auto"/>
                <w:sz w:val="21"/>
                <w:szCs w:val="21"/>
                <w:lang w:val="en-US" w:eastAsia="zh-CN"/>
              </w:rPr>
              <w:t>等</w:t>
            </w:r>
            <w:r>
              <w:rPr>
                <w:rFonts w:hint="eastAsia" w:ascii="宋体" w:hAnsi="宋体" w:cs="宋体"/>
                <w:b w:val="0"/>
                <w:bCs w:val="0"/>
                <w:color w:val="auto"/>
                <w:sz w:val="21"/>
                <w:szCs w:val="21"/>
                <w:lang w:val="en-US" w:eastAsia="zh-CN"/>
              </w:rPr>
              <w:t>。</w:t>
            </w:r>
          </w:p>
          <w:p>
            <w:pPr>
              <w:spacing w:line="360" w:lineRule="auto"/>
              <w:rPr>
                <w:rFonts w:hint="eastAsia" w:ascii="宋体" w:hAnsi="宋体" w:eastAsia="宋体" w:cs="宋体"/>
                <w:color w:val="auto"/>
                <w:sz w:val="21"/>
                <w:szCs w:val="21"/>
              </w:rPr>
            </w:pPr>
            <w:r>
              <w:rPr>
                <w:rFonts w:hint="eastAsia" w:ascii="宋体" w:hAnsi="宋体" w:eastAsia="宋体" w:cs="宋体"/>
                <w:b/>
                <w:bCs/>
                <w:color w:val="auto"/>
                <w:sz w:val="21"/>
                <w:szCs w:val="21"/>
              </w:rPr>
              <w:t>接收准则</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依据委托检验</w:t>
            </w:r>
            <w:r>
              <w:rPr>
                <w:rFonts w:hint="eastAsia" w:ascii="宋体" w:hAnsi="宋体" w:eastAsia="宋体" w:cs="宋体"/>
                <w:color w:val="auto"/>
                <w:sz w:val="21"/>
                <w:szCs w:val="21"/>
              </w:rPr>
              <w:t>合同、相关标准、用户要求等进行接收，以保证交付的</w:t>
            </w:r>
            <w:r>
              <w:rPr>
                <w:rFonts w:hint="eastAsia" w:ascii="宋体" w:hAnsi="宋体" w:eastAsia="宋体" w:cs="宋体"/>
                <w:color w:val="auto"/>
                <w:sz w:val="21"/>
                <w:szCs w:val="21"/>
                <w:lang w:val="en-US" w:eastAsia="zh-CN"/>
              </w:rPr>
              <w:t>服务</w:t>
            </w:r>
            <w:r>
              <w:rPr>
                <w:rFonts w:hint="eastAsia" w:ascii="宋体" w:hAnsi="宋体" w:eastAsia="宋体" w:cs="宋体"/>
                <w:color w:val="auto"/>
                <w:sz w:val="21"/>
                <w:szCs w:val="21"/>
              </w:rPr>
              <w:t>满足要求</w:t>
            </w:r>
          </w:p>
          <w:p>
            <w:pPr>
              <w:spacing w:line="360" w:lineRule="auto"/>
              <w:rPr>
                <w:rFonts w:hint="eastAsia" w:ascii="宋体" w:hAnsi="宋体" w:eastAsia="宋体" w:cs="宋体"/>
                <w:color w:val="auto"/>
                <w:sz w:val="21"/>
                <w:szCs w:val="21"/>
              </w:rPr>
            </w:pPr>
            <w:r>
              <w:rPr>
                <w:rFonts w:hint="eastAsia" w:ascii="宋体" w:hAnsi="宋体" w:eastAsia="宋体" w:cs="宋体"/>
                <w:b/>
                <w:bCs/>
                <w:color w:val="auto"/>
                <w:sz w:val="21"/>
                <w:szCs w:val="21"/>
              </w:rPr>
              <w:t>记录：</w:t>
            </w:r>
            <w:r>
              <w:rPr>
                <w:rFonts w:hint="eastAsia" w:ascii="宋体" w:hAnsi="宋体" w:eastAsia="宋体" w:cs="宋体"/>
                <w:color w:val="auto"/>
                <w:sz w:val="21"/>
                <w:szCs w:val="21"/>
              </w:rPr>
              <w:t>策划有委托</w:t>
            </w:r>
            <w:r>
              <w:rPr>
                <w:rFonts w:hint="eastAsia" w:ascii="宋体" w:hAnsi="宋体" w:eastAsia="宋体" w:cs="宋体"/>
                <w:color w:val="auto"/>
                <w:sz w:val="21"/>
                <w:szCs w:val="21"/>
                <w:lang w:val="en-US" w:eastAsia="zh-CN"/>
              </w:rPr>
              <w:t>检测</w:t>
            </w:r>
            <w:r>
              <w:rPr>
                <w:rFonts w:hint="eastAsia" w:ascii="宋体" w:hAnsi="宋体" w:eastAsia="宋体" w:cs="宋体"/>
                <w:color w:val="auto"/>
                <w:sz w:val="21"/>
                <w:szCs w:val="21"/>
              </w:rPr>
              <w:t>合同、</w:t>
            </w:r>
            <w:r>
              <w:rPr>
                <w:rFonts w:hint="eastAsia" w:ascii="宋体" w:hAnsi="宋体" w:eastAsia="宋体" w:cs="宋体"/>
                <w:color w:val="auto"/>
                <w:sz w:val="21"/>
                <w:szCs w:val="21"/>
                <w:lang w:val="en-US" w:eastAsia="zh-CN"/>
              </w:rPr>
              <w:t>检测</w:t>
            </w:r>
            <w:r>
              <w:rPr>
                <w:rFonts w:hint="eastAsia" w:ascii="宋体" w:hAnsi="宋体" w:eastAsia="宋体" w:cs="宋体"/>
                <w:color w:val="auto"/>
                <w:sz w:val="21"/>
                <w:szCs w:val="21"/>
              </w:rPr>
              <w:t>过程记录、检验记录等，基本满足产品实现需要。</w:t>
            </w:r>
          </w:p>
          <w:p>
            <w:pPr>
              <w:tabs>
                <w:tab w:val="left" w:pos="6597"/>
              </w:tabs>
              <w:spacing w:line="360" w:lineRule="auto"/>
              <w:rPr>
                <w:rFonts w:hint="eastAsia" w:ascii="楷体" w:hAnsi="楷体" w:eastAsia="楷体" w:cs="宋体"/>
                <w:color w:val="auto"/>
                <w:kern w:val="2"/>
                <w:sz w:val="24"/>
                <w:szCs w:val="24"/>
                <w:lang w:val="en-US" w:eastAsia="zh-CN" w:bidi="ar-SA"/>
              </w:rPr>
            </w:pPr>
            <w:r>
              <w:rPr>
                <w:rFonts w:hint="eastAsia" w:ascii="宋体" w:hAnsi="宋体" w:eastAsia="宋体" w:cs="宋体"/>
                <w:color w:val="auto"/>
                <w:sz w:val="21"/>
                <w:szCs w:val="21"/>
              </w:rPr>
              <w:t>目前策划基本充分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适合于组织的运行</w:t>
            </w:r>
            <w:r>
              <w:rPr>
                <w:rFonts w:hint="eastAsia" w:ascii="宋体" w:hAnsi="宋体" w:cs="宋体"/>
                <w:color w:val="auto"/>
                <w:sz w:val="21"/>
                <w:szCs w:val="21"/>
                <w:lang w:eastAsia="zh-CN"/>
              </w:rPr>
              <w:t>，</w:t>
            </w:r>
            <w:r>
              <w:rPr>
                <w:rFonts w:hint="eastAsia" w:ascii="宋体" w:hAnsi="宋体" w:eastAsia="宋体" w:cs="宋体"/>
                <w:color w:val="auto"/>
                <w:sz w:val="21"/>
                <w:szCs w:val="21"/>
              </w:rPr>
              <w:t>对于非预期变更，及时进行潜在后果评审，并告知相关人员，目前未发生。经识别企业无外包过程</w:t>
            </w:r>
            <w:r>
              <w:rPr>
                <w:rFonts w:hint="eastAsia" w:ascii="宋体" w:hAnsi="宋体" w:eastAsia="宋体" w:cs="宋体"/>
                <w:color w:val="auto"/>
                <w:sz w:val="21"/>
                <w:szCs w:val="21"/>
                <w:lang w:eastAsia="zh-CN"/>
              </w:rPr>
              <w:t>。</w:t>
            </w:r>
          </w:p>
        </w:tc>
        <w:tc>
          <w:tcPr>
            <w:tcW w:w="1585" w:type="dxa"/>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spacing w:line="360" w:lineRule="auto"/>
              <w:rPr>
                <w:rFonts w:hint="eastAsia" w:ascii="楷体" w:hAnsi="楷体" w:eastAsia="楷体"/>
                <w:bCs/>
                <w:color w:val="auto"/>
                <w:sz w:val="24"/>
                <w:szCs w:val="24"/>
              </w:rPr>
            </w:pPr>
          </w:p>
          <w:p>
            <w:pPr>
              <w:spacing w:line="360" w:lineRule="auto"/>
              <w:rPr>
                <w:rFonts w:hint="eastAsia" w:ascii="楷体" w:hAnsi="楷体" w:eastAsia="楷体"/>
                <w:bCs/>
                <w:color w:val="auto"/>
                <w:sz w:val="24"/>
                <w:szCs w:val="24"/>
              </w:rPr>
            </w:pPr>
          </w:p>
          <w:p>
            <w:pPr>
              <w:spacing w:line="360" w:lineRule="auto"/>
              <w:rPr>
                <w:rFonts w:hint="eastAsia" w:ascii="楷体" w:hAnsi="楷体" w:eastAsia="楷体"/>
                <w:bCs/>
                <w:color w:val="auto"/>
                <w:sz w:val="24"/>
                <w:szCs w:val="24"/>
              </w:rPr>
            </w:pPr>
          </w:p>
          <w:p>
            <w:pPr>
              <w:spacing w:line="360" w:lineRule="auto"/>
              <w:rPr>
                <w:rFonts w:hint="eastAsia" w:ascii="楷体" w:hAnsi="楷体" w:eastAsia="楷体"/>
                <w:bCs/>
                <w:color w:val="auto"/>
                <w:sz w:val="24"/>
                <w:szCs w:val="24"/>
              </w:rPr>
            </w:pPr>
          </w:p>
          <w:p>
            <w:pPr>
              <w:spacing w:line="360" w:lineRule="auto"/>
              <w:rPr>
                <w:rFonts w:hint="eastAsia" w:ascii="楷体" w:hAnsi="楷体" w:eastAsia="楷体"/>
                <w:bCs/>
                <w:color w:val="auto"/>
                <w:sz w:val="24"/>
                <w:szCs w:val="24"/>
              </w:rPr>
            </w:pPr>
          </w:p>
          <w:p>
            <w:pPr>
              <w:spacing w:line="360" w:lineRule="auto"/>
              <w:rPr>
                <w:rFonts w:hint="eastAsia" w:ascii="楷体" w:hAnsi="楷体" w:eastAsia="楷体"/>
                <w:bCs/>
                <w:color w:val="auto"/>
                <w:sz w:val="24"/>
                <w:szCs w:val="24"/>
              </w:rPr>
            </w:pPr>
          </w:p>
          <w:p>
            <w:pPr>
              <w:spacing w:line="360" w:lineRule="auto"/>
              <w:rPr>
                <w:rFonts w:hint="eastAsia" w:ascii="楷体" w:hAnsi="楷体" w:eastAsia="楷体"/>
                <w:bCs/>
                <w:color w:val="auto"/>
                <w:sz w:val="24"/>
                <w:szCs w:val="24"/>
              </w:rPr>
            </w:pPr>
          </w:p>
          <w:p>
            <w:pPr>
              <w:spacing w:line="360" w:lineRule="auto"/>
              <w:rPr>
                <w:rFonts w:ascii="楷体" w:hAnsi="楷体" w:eastAsia="楷体" w:cs="宋体"/>
                <w:color w:val="auto"/>
                <w:sz w:val="24"/>
                <w:szCs w:val="24"/>
              </w:rPr>
            </w:pPr>
            <w:r>
              <w:rPr>
                <w:rFonts w:hint="eastAsia" w:ascii="楷体" w:hAnsi="楷体" w:eastAsia="楷体"/>
                <w:bCs/>
                <w:color w:val="auto"/>
                <w:sz w:val="24"/>
                <w:szCs w:val="24"/>
              </w:rPr>
              <w:t>生产和服务提供的控制</w:t>
            </w:r>
          </w:p>
          <w:p>
            <w:pPr>
              <w:spacing w:line="360" w:lineRule="auto"/>
              <w:rPr>
                <w:rFonts w:ascii="楷体" w:hAnsi="楷体" w:eastAsia="楷体" w:cs="宋体"/>
                <w:color w:val="auto"/>
                <w:sz w:val="24"/>
                <w:szCs w:val="24"/>
              </w:rPr>
            </w:pPr>
          </w:p>
          <w:p>
            <w:pPr>
              <w:spacing w:line="360" w:lineRule="auto"/>
              <w:rPr>
                <w:rFonts w:ascii="楷体" w:hAnsi="楷体" w:eastAsia="楷体" w:cs="宋体"/>
                <w:color w:val="auto"/>
                <w:sz w:val="24"/>
                <w:szCs w:val="24"/>
              </w:rPr>
            </w:pPr>
          </w:p>
          <w:p>
            <w:pPr>
              <w:spacing w:line="360" w:lineRule="auto"/>
              <w:rPr>
                <w:rFonts w:ascii="楷体" w:hAnsi="楷体" w:eastAsia="楷体" w:cs="宋体"/>
                <w:color w:val="auto"/>
                <w:sz w:val="24"/>
                <w:szCs w:val="24"/>
              </w:rPr>
            </w:pPr>
          </w:p>
          <w:p>
            <w:pPr>
              <w:spacing w:line="360" w:lineRule="auto"/>
              <w:rPr>
                <w:rFonts w:ascii="楷体" w:hAnsi="楷体" w:eastAsia="楷体" w:cs="宋体"/>
                <w:color w:val="auto"/>
                <w:sz w:val="24"/>
                <w:szCs w:val="24"/>
              </w:rPr>
            </w:pPr>
          </w:p>
          <w:p>
            <w:pPr>
              <w:spacing w:line="360" w:lineRule="auto"/>
              <w:rPr>
                <w:rFonts w:ascii="楷体" w:hAnsi="楷体" w:eastAsia="楷体" w:cs="宋体"/>
                <w:color w:val="auto"/>
                <w:sz w:val="24"/>
                <w:szCs w:val="24"/>
              </w:rPr>
            </w:pPr>
          </w:p>
          <w:p>
            <w:pPr>
              <w:spacing w:line="360" w:lineRule="auto"/>
              <w:rPr>
                <w:rFonts w:ascii="楷体" w:hAnsi="楷体" w:eastAsia="楷体" w:cs="宋体"/>
                <w:color w:val="auto"/>
                <w:sz w:val="24"/>
                <w:szCs w:val="24"/>
              </w:rPr>
            </w:pPr>
          </w:p>
          <w:p>
            <w:pPr>
              <w:spacing w:line="360" w:lineRule="auto"/>
              <w:rPr>
                <w:rFonts w:ascii="楷体" w:hAnsi="楷体" w:eastAsia="楷体" w:cs="宋体"/>
                <w:color w:val="auto"/>
                <w:sz w:val="24"/>
                <w:szCs w:val="24"/>
              </w:rPr>
            </w:pPr>
          </w:p>
          <w:p>
            <w:pPr>
              <w:spacing w:line="360" w:lineRule="auto"/>
              <w:rPr>
                <w:rFonts w:ascii="楷体" w:hAnsi="楷体" w:eastAsia="楷体" w:cs="宋体"/>
                <w:color w:val="auto"/>
                <w:sz w:val="24"/>
                <w:szCs w:val="24"/>
              </w:rPr>
            </w:pPr>
          </w:p>
          <w:p>
            <w:pPr>
              <w:spacing w:line="360" w:lineRule="auto"/>
              <w:rPr>
                <w:rFonts w:ascii="楷体" w:hAnsi="楷体" w:eastAsia="楷体" w:cs="宋体"/>
                <w:color w:val="auto"/>
                <w:sz w:val="24"/>
                <w:szCs w:val="24"/>
              </w:rPr>
            </w:pPr>
          </w:p>
          <w:p>
            <w:pPr>
              <w:spacing w:line="360" w:lineRule="auto"/>
              <w:rPr>
                <w:rFonts w:ascii="楷体" w:hAnsi="楷体" w:eastAsia="楷体" w:cs="宋体"/>
                <w:color w:val="auto"/>
                <w:sz w:val="24"/>
                <w:szCs w:val="24"/>
              </w:rPr>
            </w:pPr>
          </w:p>
          <w:p>
            <w:pPr>
              <w:spacing w:line="360" w:lineRule="auto"/>
              <w:rPr>
                <w:rFonts w:hint="eastAsia" w:ascii="楷体" w:hAnsi="楷体" w:eastAsia="楷体" w:cs="宋体"/>
                <w:color w:val="auto"/>
                <w:kern w:val="2"/>
                <w:sz w:val="24"/>
                <w:szCs w:val="24"/>
                <w:lang w:val="en-US" w:eastAsia="zh-CN" w:bidi="ar-SA"/>
              </w:rPr>
            </w:pPr>
          </w:p>
        </w:tc>
        <w:tc>
          <w:tcPr>
            <w:tcW w:w="960" w:type="dxa"/>
            <w:vAlign w:val="top"/>
          </w:tcPr>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pStyle w:val="2"/>
              <w:tabs>
                <w:tab w:val="left" w:pos="3510"/>
                <w:tab w:val="left" w:pos="3585"/>
                <w:tab w:val="center" w:pos="4410"/>
                <w:tab w:val="left" w:pos="4620"/>
                <w:tab w:val="left" w:pos="4830"/>
                <w:tab w:val="left" w:pos="5580"/>
              </w:tabs>
              <w:rPr>
                <w:color w:val="auto"/>
              </w:rPr>
            </w:pPr>
          </w:p>
          <w:p>
            <w:pPr>
              <w:pStyle w:val="3"/>
              <w:rPr>
                <w:color w:val="auto"/>
              </w:rPr>
            </w:pPr>
          </w:p>
          <w:p>
            <w:pPr>
              <w:pStyle w:val="3"/>
              <w:rPr>
                <w:color w:val="auto"/>
              </w:rPr>
            </w:pPr>
          </w:p>
          <w:p>
            <w:pPr>
              <w:pStyle w:val="3"/>
              <w:rPr>
                <w:color w:val="auto"/>
              </w:rPr>
            </w:pPr>
          </w:p>
          <w:p>
            <w:pPr>
              <w:spacing w:line="360" w:lineRule="auto"/>
              <w:rPr>
                <w:rFonts w:ascii="Times New Roman" w:hAnsi="Times New Roman" w:cs="Times New Roman"/>
                <w:color w:val="auto"/>
                <w:szCs w:val="22"/>
              </w:rPr>
            </w:pPr>
            <w:r>
              <w:rPr>
                <w:rFonts w:hint="eastAsia" w:ascii="Times New Roman" w:hAnsi="Times New Roman" w:cs="Times New Roman"/>
                <w:color w:val="auto"/>
                <w:szCs w:val="22"/>
              </w:rPr>
              <w:t>Q</w:t>
            </w:r>
            <w:r>
              <w:rPr>
                <w:rFonts w:ascii="Times New Roman" w:hAnsi="Times New Roman" w:cs="Times New Roman"/>
                <w:color w:val="auto"/>
                <w:szCs w:val="22"/>
              </w:rPr>
              <w:t>8.5.1</w:t>
            </w:r>
          </w:p>
          <w:p>
            <w:pPr>
              <w:spacing w:line="360" w:lineRule="auto"/>
              <w:rPr>
                <w:rFonts w:hint="eastAsia" w:ascii="Times New Roman" w:hAnsi="Times New Roman" w:eastAsia="楷体" w:cs="Times New Roman"/>
                <w:color w:val="auto"/>
                <w:kern w:val="2"/>
                <w:sz w:val="21"/>
                <w:lang w:val="en-US" w:eastAsia="zh-CN" w:bidi="ar-SA"/>
              </w:rPr>
            </w:pPr>
          </w:p>
        </w:tc>
        <w:tc>
          <w:tcPr>
            <w:tcW w:w="10004" w:type="dxa"/>
            <w:vAlign w:val="top"/>
          </w:tcPr>
          <w:p>
            <w:pPr>
              <w:spacing w:line="360" w:lineRule="auto"/>
              <w:jc w:val="left"/>
              <w:rPr>
                <w:rFonts w:hint="eastAsia" w:ascii="宋体" w:hAnsi="宋体" w:cs="宋体"/>
                <w:color w:val="auto"/>
                <w:kern w:val="0"/>
                <w:sz w:val="21"/>
                <w:szCs w:val="21"/>
                <w:lang w:val="en-US" w:eastAsia="zh-CN" w:bidi="ar"/>
              </w:rPr>
            </w:pPr>
            <w:r>
              <w:rPr>
                <w:rFonts w:hint="eastAsia" w:ascii="楷体" w:hAnsi="楷体" w:eastAsia="楷体" w:cs="宋体"/>
                <w:color w:val="FF0000"/>
                <w:sz w:val="24"/>
                <w:szCs w:val="24"/>
                <w:lang w:val="en-US" w:eastAsia="zh-CN"/>
              </w:rPr>
              <w:drawing>
                <wp:anchor distT="0" distB="0" distL="114300" distR="114300" simplePos="0" relativeHeight="251662336" behindDoc="0" locked="0" layoutInCell="1" allowOverlap="1">
                  <wp:simplePos x="0" y="0"/>
                  <wp:positionH relativeFrom="column">
                    <wp:posOffset>3727450</wp:posOffset>
                  </wp:positionH>
                  <wp:positionV relativeFrom="paragraph">
                    <wp:posOffset>496570</wp:posOffset>
                  </wp:positionV>
                  <wp:extent cx="2139950" cy="3702050"/>
                  <wp:effectExtent l="0" t="0" r="6350" b="6350"/>
                  <wp:wrapNone/>
                  <wp:docPr id="48" name="图片 48" descr="a053080145d41ea1b412821e42c4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053080145d41ea1b412821e42c485d"/>
                          <pic:cNvPicPr>
                            <a:picLocks noChangeAspect="1"/>
                          </pic:cNvPicPr>
                        </pic:nvPicPr>
                        <pic:blipFill>
                          <a:blip r:embed="rId6"/>
                          <a:stretch>
                            <a:fillRect/>
                          </a:stretch>
                        </pic:blipFill>
                        <pic:spPr>
                          <a:xfrm>
                            <a:off x="0" y="0"/>
                            <a:ext cx="2139950" cy="3702050"/>
                          </a:xfrm>
                          <a:prstGeom prst="rect">
                            <a:avLst/>
                          </a:prstGeom>
                        </pic:spPr>
                      </pic:pic>
                    </a:graphicData>
                  </a:graphic>
                </wp:anchor>
              </w:drawing>
            </w:r>
            <w:r>
              <w:rPr>
                <w:rFonts w:hint="eastAsia" w:ascii="宋体" w:hAnsi="宋体" w:eastAsia="宋体" w:cs="宋体"/>
                <w:color w:val="auto"/>
                <w:kern w:val="0"/>
                <w:sz w:val="21"/>
                <w:szCs w:val="21"/>
                <w:lang w:val="en-US" w:eastAsia="zh-CN" w:bidi="ar"/>
              </w:rPr>
              <w:t>综合办公室根据签订委托协议，受理、接收计量设备、分配检测任务、样品流转单，包括：检测项目、检测依据、样品状态、流通号、判定标准、原始记录、检验报告</w:t>
            </w:r>
            <w:r>
              <w:rPr>
                <w:rFonts w:hint="eastAsia" w:ascii="宋体" w:hAnsi="宋体" w:cs="宋体"/>
                <w:color w:val="auto"/>
                <w:kern w:val="0"/>
                <w:sz w:val="21"/>
                <w:szCs w:val="21"/>
                <w:lang w:val="en-US" w:eastAsia="zh-CN" w:bidi="ar"/>
              </w:rPr>
              <w:t>。</w:t>
            </w:r>
          </w:p>
          <w:p>
            <w:pPr>
              <w:pStyle w:val="4"/>
              <w:rPr>
                <w:rFonts w:hint="eastAsia"/>
                <w:color w:val="auto"/>
                <w:sz w:val="21"/>
                <w:szCs w:val="21"/>
                <w:lang w:val="en-US" w:eastAsia="zh-CN"/>
              </w:rPr>
            </w:pPr>
            <w:r>
              <w:rPr>
                <w:rFonts w:hint="eastAsia"/>
                <w:color w:val="auto"/>
                <w:sz w:val="21"/>
                <w:szCs w:val="21"/>
                <w:lang w:val="en-US" w:eastAsia="zh-CN"/>
              </w:rPr>
              <w:t>提供，《校准/检测/检定委托单》,一式三张，顾客、</w:t>
            </w:r>
          </w:p>
          <w:p>
            <w:pPr>
              <w:pStyle w:val="4"/>
              <w:rPr>
                <w:rFonts w:hint="default"/>
                <w:color w:val="auto"/>
                <w:sz w:val="21"/>
                <w:szCs w:val="21"/>
                <w:lang w:val="en-US" w:eastAsia="zh-CN"/>
              </w:rPr>
            </w:pPr>
            <w:r>
              <w:rPr>
                <w:rFonts w:hint="eastAsia"/>
                <w:color w:val="auto"/>
                <w:sz w:val="21"/>
                <w:szCs w:val="21"/>
                <w:lang w:val="en-US" w:eastAsia="zh-CN"/>
              </w:rPr>
              <w:t>专业计量室、收发室各一份，顾客领取证书时出示。</w:t>
            </w:r>
          </w:p>
          <w:p>
            <w:pPr>
              <w:pStyle w:val="4"/>
              <w:rPr>
                <w:rFonts w:hint="eastAsia" w:ascii="楷体" w:hAnsi="楷体" w:eastAsia="楷体" w:cs="宋体"/>
                <w:color w:val="FF0000"/>
                <w:sz w:val="24"/>
                <w:szCs w:val="24"/>
                <w:lang w:val="en-US" w:eastAsia="zh-CN"/>
              </w:rPr>
            </w:pPr>
            <w:r>
              <w:rPr>
                <w:rFonts w:hint="eastAsia" w:ascii="楷体" w:hAnsi="楷体" w:eastAsia="楷体" w:cs="宋体"/>
                <w:color w:val="FF0000"/>
                <w:sz w:val="24"/>
                <w:szCs w:val="24"/>
                <w:lang w:val="en-US" w:eastAsia="zh-CN"/>
              </w:rPr>
              <w:drawing>
                <wp:anchor distT="0" distB="0" distL="114300" distR="114300" simplePos="0" relativeHeight="251661312" behindDoc="0" locked="0" layoutInCell="1" allowOverlap="1">
                  <wp:simplePos x="0" y="0"/>
                  <wp:positionH relativeFrom="column">
                    <wp:posOffset>654050</wp:posOffset>
                  </wp:positionH>
                  <wp:positionV relativeFrom="paragraph">
                    <wp:posOffset>213360</wp:posOffset>
                  </wp:positionV>
                  <wp:extent cx="2131060" cy="2780665"/>
                  <wp:effectExtent l="0" t="0" r="2540" b="635"/>
                  <wp:wrapNone/>
                  <wp:docPr id="47" name="图片 47" descr="65631f939f0cb9800c068c8e139f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5631f939f0cb9800c068c8e139fb6d"/>
                          <pic:cNvPicPr>
                            <a:picLocks noChangeAspect="1"/>
                          </pic:cNvPicPr>
                        </pic:nvPicPr>
                        <pic:blipFill>
                          <a:blip r:embed="rId7"/>
                          <a:stretch>
                            <a:fillRect/>
                          </a:stretch>
                        </pic:blipFill>
                        <pic:spPr>
                          <a:xfrm>
                            <a:off x="0" y="0"/>
                            <a:ext cx="2131060" cy="2780665"/>
                          </a:xfrm>
                          <a:prstGeom prst="rect">
                            <a:avLst/>
                          </a:prstGeom>
                        </pic:spPr>
                      </pic:pic>
                    </a:graphicData>
                  </a:graphic>
                </wp:anchor>
              </w:drawing>
            </w: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default" w:ascii="楷体" w:hAnsi="楷体" w:eastAsia="楷体" w:cs="宋体"/>
                <w:color w:val="FF0000"/>
                <w:sz w:val="24"/>
                <w:szCs w:val="24"/>
                <w:lang w:val="en-US" w:eastAsia="zh-CN"/>
              </w:rPr>
            </w:pPr>
            <w:r>
              <w:rPr>
                <w:rFonts w:hint="eastAsia" w:ascii="楷体" w:hAnsi="楷体" w:eastAsia="楷体" w:cs="宋体"/>
                <w:color w:val="FF0000"/>
                <w:sz w:val="24"/>
                <w:szCs w:val="24"/>
                <w:lang w:val="en-US" w:eastAsia="zh-CN"/>
              </w:rPr>
              <w:drawing>
                <wp:anchor distT="0" distB="0" distL="114300" distR="114300" simplePos="0" relativeHeight="251663360" behindDoc="0" locked="0" layoutInCell="1" allowOverlap="1">
                  <wp:simplePos x="0" y="0"/>
                  <wp:positionH relativeFrom="column">
                    <wp:posOffset>1333500</wp:posOffset>
                  </wp:positionH>
                  <wp:positionV relativeFrom="paragraph">
                    <wp:posOffset>105410</wp:posOffset>
                  </wp:positionV>
                  <wp:extent cx="3098800" cy="2263775"/>
                  <wp:effectExtent l="0" t="0" r="0" b="9525"/>
                  <wp:wrapNone/>
                  <wp:docPr id="49" name="图片 49" descr="3bae7ebffddb5565e130363e735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bae7ebffddb5565e130363e7359349"/>
                          <pic:cNvPicPr>
                            <a:picLocks noChangeAspect="1"/>
                          </pic:cNvPicPr>
                        </pic:nvPicPr>
                        <pic:blipFill>
                          <a:blip r:embed="rId8"/>
                          <a:srcRect b="36066"/>
                          <a:stretch>
                            <a:fillRect/>
                          </a:stretch>
                        </pic:blipFill>
                        <pic:spPr>
                          <a:xfrm>
                            <a:off x="0" y="0"/>
                            <a:ext cx="3098800" cy="2263775"/>
                          </a:xfrm>
                          <a:prstGeom prst="rect">
                            <a:avLst/>
                          </a:prstGeom>
                        </pic:spPr>
                      </pic:pic>
                    </a:graphicData>
                  </a:graphic>
                </wp:anchor>
              </w:drawing>
            </w:r>
          </w:p>
          <w:p>
            <w:pPr>
              <w:spacing w:line="360" w:lineRule="auto"/>
              <w:ind w:firstLine="480" w:firstLineChars="200"/>
              <w:jc w:val="left"/>
              <w:rPr>
                <w:rFonts w:hint="eastAsia" w:ascii="楷体" w:hAnsi="楷体" w:eastAsia="楷体" w:cs="宋体"/>
                <w:color w:val="FF0000"/>
                <w:sz w:val="24"/>
                <w:szCs w:val="24"/>
                <w:lang w:val="en-US" w:eastAsia="zh-CN"/>
              </w:rPr>
            </w:pPr>
          </w:p>
          <w:p>
            <w:pPr>
              <w:spacing w:line="360" w:lineRule="auto"/>
              <w:ind w:firstLine="480" w:firstLineChars="200"/>
              <w:jc w:val="left"/>
              <w:rPr>
                <w:rFonts w:hint="eastAsia" w:ascii="楷体" w:hAnsi="楷体" w:eastAsia="楷体" w:cs="宋体"/>
                <w:color w:val="FF0000"/>
                <w:sz w:val="24"/>
                <w:szCs w:val="24"/>
                <w:lang w:val="en-US" w:eastAsia="zh-CN"/>
              </w:rPr>
            </w:pPr>
          </w:p>
          <w:p>
            <w:pPr>
              <w:spacing w:line="360" w:lineRule="auto"/>
              <w:ind w:firstLine="480" w:firstLineChars="200"/>
              <w:jc w:val="left"/>
              <w:rPr>
                <w:rFonts w:hint="eastAsia" w:ascii="楷体" w:hAnsi="楷体" w:eastAsia="楷体" w:cs="宋体"/>
                <w:color w:val="FF0000"/>
                <w:sz w:val="24"/>
                <w:szCs w:val="24"/>
                <w:lang w:val="en-US" w:eastAsia="zh-CN"/>
              </w:rPr>
            </w:pPr>
          </w:p>
          <w:p>
            <w:pPr>
              <w:spacing w:line="360" w:lineRule="auto"/>
              <w:ind w:firstLine="480" w:firstLineChars="200"/>
              <w:jc w:val="left"/>
              <w:rPr>
                <w:rFonts w:hint="eastAsia" w:ascii="楷体" w:hAnsi="楷体" w:eastAsia="楷体" w:cs="宋体"/>
                <w:color w:val="FF0000"/>
                <w:sz w:val="24"/>
                <w:szCs w:val="24"/>
                <w:lang w:val="en-US" w:eastAsia="zh-CN"/>
              </w:rPr>
            </w:pPr>
          </w:p>
          <w:p>
            <w:pPr>
              <w:spacing w:line="360" w:lineRule="auto"/>
              <w:ind w:firstLine="480" w:firstLineChars="200"/>
              <w:jc w:val="left"/>
              <w:rPr>
                <w:rFonts w:hint="eastAsia" w:ascii="楷体" w:hAnsi="楷体" w:eastAsia="楷体" w:cs="宋体"/>
                <w:color w:val="FF0000"/>
                <w:sz w:val="24"/>
                <w:szCs w:val="24"/>
                <w:lang w:val="en-US" w:eastAsia="zh-CN"/>
              </w:rPr>
            </w:pPr>
          </w:p>
          <w:p>
            <w:pPr>
              <w:spacing w:line="360" w:lineRule="auto"/>
              <w:ind w:firstLine="480" w:firstLineChars="200"/>
              <w:jc w:val="left"/>
              <w:rPr>
                <w:rFonts w:hint="eastAsia" w:ascii="楷体" w:hAnsi="楷体" w:eastAsia="楷体" w:cs="宋体"/>
                <w:color w:val="FF0000"/>
                <w:sz w:val="24"/>
                <w:szCs w:val="24"/>
                <w:lang w:val="en-US" w:eastAsia="zh-CN"/>
              </w:rPr>
            </w:pPr>
          </w:p>
          <w:p>
            <w:pPr>
              <w:spacing w:line="360" w:lineRule="auto"/>
              <w:ind w:firstLine="480" w:firstLineChars="200"/>
              <w:jc w:val="left"/>
              <w:rPr>
                <w:rFonts w:hint="eastAsia" w:ascii="楷体" w:hAnsi="楷体" w:eastAsia="楷体" w:cs="宋体"/>
                <w:color w:val="FF0000"/>
                <w:sz w:val="24"/>
                <w:szCs w:val="24"/>
                <w:lang w:val="en-US" w:eastAsia="zh-CN"/>
              </w:rPr>
            </w:pPr>
          </w:p>
          <w:p>
            <w:pPr>
              <w:spacing w:line="360" w:lineRule="auto"/>
              <w:ind w:firstLine="480" w:firstLineChars="200"/>
              <w:jc w:val="left"/>
              <w:rPr>
                <w:rFonts w:hint="eastAsia" w:ascii="楷体" w:hAnsi="楷体" w:eastAsia="楷体" w:cs="宋体"/>
                <w:color w:val="FF0000"/>
                <w:sz w:val="24"/>
                <w:szCs w:val="24"/>
                <w:lang w:val="en-US" w:eastAsia="zh-CN"/>
              </w:rPr>
            </w:pPr>
            <w:r>
              <w:rPr>
                <w:rFonts w:hint="eastAsia" w:ascii="楷体" w:hAnsi="楷体" w:eastAsia="楷体" w:cs="宋体"/>
                <w:color w:val="FF0000"/>
                <w:sz w:val="24"/>
                <w:szCs w:val="24"/>
                <w:lang w:val="en-US" w:eastAsia="zh-CN"/>
              </w:rPr>
              <w:drawing>
                <wp:anchor distT="0" distB="0" distL="114300" distR="114300" simplePos="0" relativeHeight="251665408" behindDoc="0" locked="0" layoutInCell="1" allowOverlap="1">
                  <wp:simplePos x="0" y="0"/>
                  <wp:positionH relativeFrom="column">
                    <wp:posOffset>3111500</wp:posOffset>
                  </wp:positionH>
                  <wp:positionV relativeFrom="paragraph">
                    <wp:posOffset>175260</wp:posOffset>
                  </wp:positionV>
                  <wp:extent cx="3073400" cy="2068195"/>
                  <wp:effectExtent l="0" t="0" r="0" b="1905"/>
                  <wp:wrapNone/>
                  <wp:docPr id="51" name="图片 51" descr="签收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签收单2"/>
                          <pic:cNvPicPr>
                            <a:picLocks noChangeAspect="1"/>
                          </pic:cNvPicPr>
                        </pic:nvPicPr>
                        <pic:blipFill>
                          <a:blip r:embed="rId9"/>
                          <a:stretch>
                            <a:fillRect/>
                          </a:stretch>
                        </pic:blipFill>
                        <pic:spPr>
                          <a:xfrm>
                            <a:off x="0" y="0"/>
                            <a:ext cx="3073400" cy="2068195"/>
                          </a:xfrm>
                          <a:prstGeom prst="rect">
                            <a:avLst/>
                          </a:prstGeom>
                        </pic:spPr>
                      </pic:pic>
                    </a:graphicData>
                  </a:graphic>
                </wp:anchor>
              </w:drawing>
            </w:r>
            <w:r>
              <w:rPr>
                <w:rFonts w:hint="eastAsia" w:ascii="楷体" w:hAnsi="楷体" w:eastAsia="楷体" w:cs="宋体"/>
                <w:color w:val="FF0000"/>
                <w:sz w:val="24"/>
                <w:szCs w:val="24"/>
                <w:lang w:val="en-US" w:eastAsia="zh-CN"/>
              </w:rPr>
              <w:drawing>
                <wp:anchor distT="0" distB="0" distL="114300" distR="114300" simplePos="0" relativeHeight="251664384" behindDoc="0" locked="0" layoutInCell="1" allowOverlap="1">
                  <wp:simplePos x="0" y="0"/>
                  <wp:positionH relativeFrom="column">
                    <wp:posOffset>44450</wp:posOffset>
                  </wp:positionH>
                  <wp:positionV relativeFrom="paragraph">
                    <wp:posOffset>187960</wp:posOffset>
                  </wp:positionV>
                  <wp:extent cx="3004820" cy="2051685"/>
                  <wp:effectExtent l="0" t="0" r="5080" b="5715"/>
                  <wp:wrapNone/>
                  <wp:docPr id="50" name="图片 50" descr="签收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签收单1"/>
                          <pic:cNvPicPr>
                            <a:picLocks noChangeAspect="1"/>
                          </pic:cNvPicPr>
                        </pic:nvPicPr>
                        <pic:blipFill>
                          <a:blip r:embed="rId10"/>
                          <a:stretch>
                            <a:fillRect/>
                          </a:stretch>
                        </pic:blipFill>
                        <pic:spPr>
                          <a:xfrm>
                            <a:off x="0" y="0"/>
                            <a:ext cx="3004820" cy="2051685"/>
                          </a:xfrm>
                          <a:prstGeom prst="rect">
                            <a:avLst/>
                          </a:prstGeom>
                        </pic:spPr>
                      </pic:pic>
                    </a:graphicData>
                  </a:graphic>
                </wp:anchor>
              </w:drawing>
            </w: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spacing w:line="360" w:lineRule="auto"/>
              <w:ind w:firstLine="480" w:firstLineChars="200"/>
              <w:jc w:val="left"/>
              <w:rPr>
                <w:rFonts w:hint="eastAsia" w:ascii="楷体" w:hAnsi="楷体" w:eastAsia="楷体" w:cs="宋体"/>
                <w:color w:val="FF0000"/>
                <w:sz w:val="24"/>
                <w:szCs w:val="24"/>
                <w:lang w:val="en-US" w:eastAsia="zh-CN"/>
              </w:rPr>
            </w:pPr>
          </w:p>
          <w:p>
            <w:pPr>
              <w:spacing w:line="360" w:lineRule="auto"/>
              <w:jc w:val="left"/>
              <w:rPr>
                <w:rFonts w:hint="eastAsia" w:ascii="楷体" w:hAnsi="楷体" w:eastAsia="楷体" w:cs="宋体"/>
                <w:color w:val="FF0000"/>
                <w:sz w:val="24"/>
                <w:szCs w:val="24"/>
                <w:lang w:val="en-US" w:eastAsia="zh-CN"/>
              </w:rPr>
            </w:pPr>
          </w:p>
          <w:p>
            <w:pPr>
              <w:spacing w:line="360" w:lineRule="auto"/>
              <w:jc w:val="left"/>
              <w:rPr>
                <w:rFonts w:hint="eastAsia" w:ascii="楷体" w:hAnsi="楷体" w:eastAsia="楷体" w:cs="宋体"/>
                <w:color w:val="FF0000"/>
                <w:sz w:val="24"/>
                <w:szCs w:val="24"/>
                <w:lang w:val="en-US" w:eastAsia="zh-CN"/>
              </w:rPr>
            </w:pPr>
          </w:p>
          <w:p>
            <w:pPr>
              <w:spacing w:line="360" w:lineRule="auto"/>
              <w:jc w:val="left"/>
              <w:rPr>
                <w:rFonts w:hint="default" w:ascii="楷体" w:hAnsi="楷体" w:eastAsia="楷体" w:cs="宋体"/>
                <w:color w:val="auto"/>
                <w:sz w:val="24"/>
                <w:szCs w:val="24"/>
                <w:lang w:val="en-US" w:eastAsia="zh-CN"/>
              </w:rPr>
            </w:pPr>
            <w:r>
              <w:rPr>
                <w:rFonts w:hint="eastAsia" w:ascii="楷体" w:hAnsi="楷体" w:eastAsia="楷体" w:cs="宋体"/>
                <w:color w:val="auto"/>
                <w:sz w:val="24"/>
                <w:szCs w:val="24"/>
                <w:lang w:val="en-US" w:eastAsia="zh-CN"/>
              </w:rPr>
              <w:t>抽检定证书、原始记录：</w:t>
            </w:r>
          </w:p>
          <w:p>
            <w:pPr>
              <w:spacing w:line="360" w:lineRule="auto"/>
              <w:ind w:firstLine="420" w:firstLineChars="200"/>
              <w:jc w:val="left"/>
              <w:rPr>
                <w:rFonts w:hint="eastAsia" w:ascii="楷体" w:hAnsi="楷体" w:eastAsia="楷体" w:cs="宋体"/>
                <w:color w:val="FF0000"/>
                <w:sz w:val="24"/>
                <w:szCs w:val="24"/>
                <w:lang w:val="en-US" w:eastAsia="zh-CN"/>
              </w:rPr>
            </w:pPr>
            <w:r>
              <w:drawing>
                <wp:anchor distT="0" distB="0" distL="114300" distR="114300" simplePos="0" relativeHeight="251668480" behindDoc="0" locked="0" layoutInCell="1" allowOverlap="1">
                  <wp:simplePos x="0" y="0"/>
                  <wp:positionH relativeFrom="column">
                    <wp:posOffset>4127500</wp:posOffset>
                  </wp:positionH>
                  <wp:positionV relativeFrom="paragraph">
                    <wp:posOffset>29210</wp:posOffset>
                  </wp:positionV>
                  <wp:extent cx="1776730" cy="2482850"/>
                  <wp:effectExtent l="0" t="0" r="1270" b="6350"/>
                  <wp:wrapNone/>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1"/>
                          <a:stretch>
                            <a:fillRect/>
                          </a:stretch>
                        </pic:blipFill>
                        <pic:spPr>
                          <a:xfrm>
                            <a:off x="0" y="0"/>
                            <a:ext cx="1776730" cy="248285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114300</wp:posOffset>
                  </wp:positionH>
                  <wp:positionV relativeFrom="paragraph">
                    <wp:posOffset>35560</wp:posOffset>
                  </wp:positionV>
                  <wp:extent cx="1766570" cy="2480945"/>
                  <wp:effectExtent l="0" t="0" r="11430" b="8255"/>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2"/>
                          <a:stretch>
                            <a:fillRect/>
                          </a:stretch>
                        </pic:blipFill>
                        <pic:spPr>
                          <a:xfrm>
                            <a:off x="0" y="0"/>
                            <a:ext cx="1766570" cy="248094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2095500</wp:posOffset>
                  </wp:positionH>
                  <wp:positionV relativeFrom="paragraph">
                    <wp:posOffset>25400</wp:posOffset>
                  </wp:positionV>
                  <wp:extent cx="1751330" cy="2487295"/>
                  <wp:effectExtent l="0" t="0" r="1270" b="1905"/>
                  <wp:wrapNone/>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3"/>
                          <a:stretch>
                            <a:fillRect/>
                          </a:stretch>
                        </pic:blipFill>
                        <pic:spPr>
                          <a:xfrm>
                            <a:off x="0" y="0"/>
                            <a:ext cx="1751330" cy="2487295"/>
                          </a:xfrm>
                          <a:prstGeom prst="rect">
                            <a:avLst/>
                          </a:prstGeom>
                          <a:noFill/>
                          <a:ln>
                            <a:noFill/>
                          </a:ln>
                        </pic:spPr>
                      </pic:pic>
                    </a:graphicData>
                  </a:graphic>
                </wp:anchor>
              </w:drawing>
            </w: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r>
              <w:drawing>
                <wp:anchor distT="0" distB="0" distL="114300" distR="114300" simplePos="0" relativeHeight="251671552" behindDoc="0" locked="0" layoutInCell="1" allowOverlap="1">
                  <wp:simplePos x="0" y="0"/>
                  <wp:positionH relativeFrom="column">
                    <wp:posOffset>4165600</wp:posOffset>
                  </wp:positionH>
                  <wp:positionV relativeFrom="paragraph">
                    <wp:posOffset>175260</wp:posOffset>
                  </wp:positionV>
                  <wp:extent cx="1675130" cy="2425700"/>
                  <wp:effectExtent l="0" t="0" r="1270" b="0"/>
                  <wp:wrapNone/>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4"/>
                          <a:stretch>
                            <a:fillRect/>
                          </a:stretch>
                        </pic:blipFill>
                        <pic:spPr>
                          <a:xfrm>
                            <a:off x="0" y="0"/>
                            <a:ext cx="1675130" cy="242570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2082800</wp:posOffset>
                  </wp:positionH>
                  <wp:positionV relativeFrom="paragraph">
                    <wp:posOffset>162560</wp:posOffset>
                  </wp:positionV>
                  <wp:extent cx="1743075" cy="2446020"/>
                  <wp:effectExtent l="0" t="0" r="9525" b="5080"/>
                  <wp:wrapNone/>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15"/>
                          <a:stretch>
                            <a:fillRect/>
                          </a:stretch>
                        </pic:blipFill>
                        <pic:spPr>
                          <a:xfrm>
                            <a:off x="0" y="0"/>
                            <a:ext cx="1743075" cy="2446020"/>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114300</wp:posOffset>
                  </wp:positionH>
                  <wp:positionV relativeFrom="paragraph">
                    <wp:posOffset>156210</wp:posOffset>
                  </wp:positionV>
                  <wp:extent cx="1715770" cy="2456180"/>
                  <wp:effectExtent l="0" t="0" r="11430" b="7620"/>
                  <wp:wrapNone/>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6"/>
                          <a:stretch>
                            <a:fillRect/>
                          </a:stretch>
                        </pic:blipFill>
                        <pic:spPr>
                          <a:xfrm>
                            <a:off x="0" y="0"/>
                            <a:ext cx="1715770" cy="2456180"/>
                          </a:xfrm>
                          <a:prstGeom prst="rect">
                            <a:avLst/>
                          </a:prstGeom>
                          <a:noFill/>
                          <a:ln>
                            <a:noFill/>
                          </a:ln>
                        </pic:spPr>
                      </pic:pic>
                    </a:graphicData>
                  </a:graphic>
                </wp:anchor>
              </w:drawing>
            </w: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pStyle w:val="4"/>
              <w:rPr>
                <w:rFonts w:hint="eastAsia" w:ascii="楷体" w:hAnsi="楷体" w:eastAsia="楷体" w:cs="宋体"/>
                <w:color w:val="FF0000"/>
                <w:sz w:val="24"/>
                <w:szCs w:val="24"/>
                <w:lang w:val="en-US" w:eastAsia="zh-CN"/>
              </w:rPr>
            </w:pPr>
          </w:p>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w:t>
            </w:r>
            <w:r>
              <w:rPr>
                <w:rFonts w:hint="eastAsia" w:ascii="宋体" w:hAnsi="宋体" w:eastAsia="宋体" w:cs="宋体"/>
                <w:color w:val="auto"/>
                <w:lang w:val="en-US" w:eastAsia="zh-CN"/>
              </w:rPr>
              <w:t>合同编号：2021年050026,2021.4.28与中国石油天然气股份有限公司长庆油田分公司陇东页岩油开发项目部</w:t>
            </w:r>
            <w:r>
              <w:rPr>
                <w:rFonts w:hint="eastAsia" w:ascii="宋体" w:hAnsi="宋体" w:cs="宋体"/>
                <w:color w:val="auto"/>
                <w:lang w:val="en-US" w:eastAsia="zh-CN"/>
              </w:rPr>
              <w:t>。</w:t>
            </w:r>
            <w:r>
              <w:rPr>
                <w:rFonts w:hint="eastAsia" w:ascii="宋体" w:hAnsi="宋体" w:eastAsia="宋体" w:cs="宋体"/>
                <w:color w:val="auto"/>
                <w:lang w:val="en-US" w:eastAsia="zh-CN"/>
              </w:rPr>
              <w:t>签订的陇东页岩油开发项目部2021年仪表计量技术服务</w:t>
            </w:r>
            <w:r>
              <w:rPr>
                <w:rFonts w:hint="eastAsia" w:ascii="宋体" w:hAnsi="宋体" w:eastAsia="宋体" w:cs="宋体"/>
                <w:color w:val="auto"/>
                <w:sz w:val="21"/>
                <w:szCs w:val="21"/>
                <w:lang w:val="en-US" w:eastAsia="zh-CN"/>
              </w:rPr>
              <w:t>，其中有精密压力表、温度计、机械式普通压力表、数字压力变送器、数字温度变送器、涡街流量计、三转子流量计、磁电式漩涡流量计、稳流配水阀等公司按相关的检定、校准规范进行校准，已出具相应校准证书，其中</w:t>
            </w:r>
            <w:r>
              <w:rPr>
                <w:rFonts w:hint="eastAsia" w:ascii="宋体" w:hAnsi="宋体" w:cs="宋体"/>
                <w:color w:val="auto"/>
                <w:sz w:val="21"/>
                <w:szCs w:val="21"/>
                <w:lang w:val="en-US" w:eastAsia="zh-CN"/>
              </w:rPr>
              <w:t>损坏的仪器需要</w:t>
            </w:r>
            <w:r>
              <w:rPr>
                <w:rFonts w:hint="eastAsia" w:ascii="宋体" w:hAnsi="宋体" w:eastAsia="宋体" w:cs="宋体"/>
                <w:color w:val="auto"/>
                <w:sz w:val="21"/>
                <w:szCs w:val="21"/>
                <w:lang w:val="en-US" w:eastAsia="zh-CN"/>
              </w:rPr>
              <w:t>进行了维修，维修后校准，设备已达到合格状态。</w:t>
            </w:r>
          </w:p>
          <w:p>
            <w:pPr>
              <w:pStyle w:val="2"/>
              <w:tabs>
                <w:tab w:val="left" w:pos="3510"/>
                <w:tab w:val="left" w:pos="3585"/>
                <w:tab w:val="center" w:pos="4410"/>
                <w:tab w:val="left" w:pos="4620"/>
                <w:tab w:val="left" w:pos="4830"/>
                <w:tab w:val="left" w:pos="5580"/>
              </w:tabs>
              <w:rPr>
                <w:rFonts w:hint="eastAsia" w:ascii="宋体" w:hAnsi="宋体" w:eastAsia="宋体" w:cs="宋体"/>
                <w:color w:val="FF0000"/>
                <w:sz w:val="21"/>
                <w:szCs w:val="21"/>
                <w:lang w:val="en-US" w:eastAsia="zh-CN"/>
              </w:rPr>
            </w:pPr>
            <w:r>
              <w:drawing>
                <wp:anchor distT="0" distB="0" distL="114300" distR="114300" simplePos="0" relativeHeight="251674624" behindDoc="0" locked="0" layoutInCell="1" allowOverlap="1">
                  <wp:simplePos x="0" y="0"/>
                  <wp:positionH relativeFrom="column">
                    <wp:posOffset>4171950</wp:posOffset>
                  </wp:positionH>
                  <wp:positionV relativeFrom="paragraph">
                    <wp:posOffset>31750</wp:posOffset>
                  </wp:positionV>
                  <wp:extent cx="1756410" cy="2520950"/>
                  <wp:effectExtent l="0" t="0" r="8890" b="6350"/>
                  <wp:wrapNone/>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17"/>
                          <a:stretch>
                            <a:fillRect/>
                          </a:stretch>
                        </pic:blipFill>
                        <pic:spPr>
                          <a:xfrm>
                            <a:off x="0" y="0"/>
                            <a:ext cx="1756410" cy="2520950"/>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247650</wp:posOffset>
                  </wp:positionH>
                  <wp:positionV relativeFrom="paragraph">
                    <wp:posOffset>19050</wp:posOffset>
                  </wp:positionV>
                  <wp:extent cx="1781810" cy="2508885"/>
                  <wp:effectExtent l="0" t="0" r="8890" b="5715"/>
                  <wp:wrapNone/>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8"/>
                          <a:stretch>
                            <a:fillRect/>
                          </a:stretch>
                        </pic:blipFill>
                        <pic:spPr>
                          <a:xfrm>
                            <a:off x="0" y="0"/>
                            <a:ext cx="1781810" cy="2508885"/>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2228850</wp:posOffset>
                  </wp:positionH>
                  <wp:positionV relativeFrom="paragraph">
                    <wp:posOffset>25400</wp:posOffset>
                  </wp:positionV>
                  <wp:extent cx="1756410" cy="2505710"/>
                  <wp:effectExtent l="0" t="0" r="8890" b="8890"/>
                  <wp:wrapNone/>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9"/>
                          <a:stretch>
                            <a:fillRect/>
                          </a:stretch>
                        </pic:blipFill>
                        <pic:spPr>
                          <a:xfrm>
                            <a:off x="0" y="0"/>
                            <a:ext cx="1756410" cy="2505710"/>
                          </a:xfrm>
                          <a:prstGeom prst="rect">
                            <a:avLst/>
                          </a:prstGeom>
                          <a:noFill/>
                          <a:ln>
                            <a:noFill/>
                          </a:ln>
                        </pic:spPr>
                      </pic:pic>
                    </a:graphicData>
                  </a:graphic>
                </wp:anchor>
              </w:drawing>
            </w:r>
          </w:p>
          <w:p>
            <w:pPr>
              <w:pStyle w:val="3"/>
              <w:rPr>
                <w:rFonts w:hint="eastAsia" w:ascii="宋体" w:hAnsi="宋体" w:eastAsia="宋体" w:cs="宋体"/>
                <w:color w:val="FF0000"/>
                <w:sz w:val="21"/>
                <w:szCs w:val="21"/>
                <w:lang w:val="en-US" w:eastAsia="zh-CN"/>
              </w:rPr>
            </w:pPr>
          </w:p>
          <w:p>
            <w:pPr>
              <w:pStyle w:val="3"/>
              <w:rPr>
                <w:rFonts w:hint="eastAsia" w:ascii="宋体" w:hAnsi="宋体" w:eastAsia="宋体" w:cs="宋体"/>
                <w:color w:val="FF0000"/>
                <w:sz w:val="21"/>
                <w:szCs w:val="21"/>
                <w:lang w:val="en-US" w:eastAsia="zh-CN"/>
              </w:rPr>
            </w:pPr>
          </w:p>
          <w:p>
            <w:pPr>
              <w:pStyle w:val="3"/>
              <w:rPr>
                <w:rFonts w:hint="eastAsia" w:ascii="宋体" w:hAnsi="宋体" w:eastAsia="宋体" w:cs="宋体"/>
                <w:color w:val="FF0000"/>
                <w:sz w:val="21"/>
                <w:szCs w:val="21"/>
                <w:lang w:val="en-US" w:eastAsia="zh-CN"/>
              </w:rPr>
            </w:pPr>
          </w:p>
          <w:p>
            <w:pPr>
              <w:pStyle w:val="3"/>
              <w:rPr>
                <w:rFonts w:hint="eastAsia" w:ascii="宋体" w:hAnsi="宋体" w:eastAsia="宋体" w:cs="宋体"/>
                <w:color w:val="FF0000"/>
                <w:sz w:val="21"/>
                <w:szCs w:val="21"/>
                <w:lang w:val="en-US" w:eastAsia="zh-CN"/>
              </w:rPr>
            </w:pPr>
          </w:p>
          <w:p>
            <w:pPr>
              <w:pStyle w:val="3"/>
              <w:rPr>
                <w:rFonts w:hint="eastAsia" w:ascii="宋体" w:hAnsi="宋体" w:eastAsia="宋体" w:cs="宋体"/>
                <w:color w:val="FF0000"/>
                <w:sz w:val="21"/>
                <w:szCs w:val="21"/>
                <w:lang w:val="en-US" w:eastAsia="zh-CN"/>
              </w:rPr>
            </w:pPr>
          </w:p>
          <w:p>
            <w:pPr>
              <w:pStyle w:val="3"/>
              <w:rPr>
                <w:rFonts w:hint="eastAsia" w:ascii="宋体" w:hAnsi="宋体" w:eastAsia="宋体" w:cs="宋体"/>
                <w:color w:val="FF0000"/>
                <w:sz w:val="21"/>
                <w:szCs w:val="21"/>
                <w:lang w:val="en-US" w:eastAsia="zh-CN"/>
              </w:rPr>
            </w:pPr>
          </w:p>
          <w:p>
            <w:pPr>
              <w:pStyle w:val="3"/>
              <w:rPr>
                <w:rFonts w:hint="eastAsia" w:ascii="宋体" w:hAnsi="宋体" w:eastAsia="宋体" w:cs="宋体"/>
                <w:color w:val="FF0000"/>
                <w:sz w:val="21"/>
                <w:szCs w:val="21"/>
                <w:lang w:val="en-US" w:eastAsia="zh-CN"/>
              </w:rPr>
            </w:pPr>
          </w:p>
          <w:p>
            <w:pPr>
              <w:pStyle w:val="3"/>
              <w:rPr>
                <w:rFonts w:hint="eastAsia" w:ascii="宋体" w:hAnsi="宋体" w:eastAsia="宋体" w:cs="宋体"/>
                <w:color w:val="FF0000"/>
                <w:sz w:val="21"/>
                <w:szCs w:val="21"/>
                <w:lang w:val="en-US" w:eastAsia="zh-CN"/>
              </w:rPr>
            </w:pPr>
          </w:p>
          <w:p>
            <w:pPr>
              <w:pStyle w:val="3"/>
              <w:rPr>
                <w:rFonts w:hint="eastAsia" w:ascii="宋体" w:hAnsi="宋体" w:eastAsia="宋体" w:cs="宋体"/>
                <w:color w:val="FF0000"/>
                <w:sz w:val="21"/>
                <w:szCs w:val="21"/>
                <w:lang w:val="en-US" w:eastAsia="zh-CN"/>
              </w:rPr>
            </w:pPr>
          </w:p>
          <w:p>
            <w:pPr>
              <w:pStyle w:val="4"/>
              <w:rPr>
                <w:rFonts w:hint="eastAsia" w:ascii="宋体" w:hAnsi="宋体" w:eastAsia="宋体" w:cs="宋体"/>
                <w:color w:val="FF0000"/>
                <w:sz w:val="21"/>
                <w:szCs w:val="21"/>
                <w:lang w:val="en-US" w:eastAsia="zh-CN"/>
              </w:rPr>
            </w:pPr>
          </w:p>
          <w:p>
            <w:pPr>
              <w:pStyle w:val="4"/>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合同编号：XASL-2021-006 ，2019.6.10与金花企业（集团）股份有限公司西安金花制药厂签订的《西安金花制药厂计量技术服务合同》。技术服务内容：计量技术服务，其中设备有：电子天平、电子计重天平、液体比重天平、凯氏定氮仪、全自动阿贝折射仪、偏光显微镜、生物显微镜、脆碎度检查仪、智能崩解仪、溶出仪、溶出试验仪、陶瓷纤维箱式电阻炉、低速台式离心机、高速离心机、傅立叶红外光谱仪、紫外可见分光光度计等，出具了设备检测报告，其中</w:t>
            </w:r>
            <w:r>
              <w:rPr>
                <w:rFonts w:hint="eastAsia" w:ascii="宋体" w:hAnsi="宋体" w:cs="宋体"/>
                <w:color w:val="auto"/>
                <w:sz w:val="21"/>
                <w:szCs w:val="21"/>
                <w:lang w:val="en-US" w:eastAsia="zh-CN"/>
              </w:rPr>
              <w:t>对损坏的仪器</w:t>
            </w:r>
            <w:r>
              <w:rPr>
                <w:rFonts w:hint="eastAsia" w:ascii="宋体" w:hAnsi="宋体" w:eastAsia="宋体" w:cs="宋体"/>
                <w:color w:val="auto"/>
                <w:sz w:val="21"/>
                <w:szCs w:val="21"/>
                <w:lang w:val="en-US" w:eastAsia="zh-CN"/>
              </w:rPr>
              <w:t>部分进行了维修。</w:t>
            </w:r>
          </w:p>
          <w:p>
            <w:pPr>
              <w:pStyle w:val="4"/>
              <w:ind w:firstLine="480" w:firstLineChars="200"/>
              <w:rPr>
                <w:rFonts w:hint="eastAsia" w:ascii="宋体" w:hAnsi="宋体" w:eastAsia="宋体" w:cs="宋体"/>
                <w:color w:val="FF0000"/>
                <w:sz w:val="21"/>
                <w:szCs w:val="21"/>
                <w:lang w:val="en-US" w:eastAsia="zh-CN"/>
              </w:rPr>
            </w:pPr>
            <w:r>
              <w:drawing>
                <wp:anchor distT="0" distB="0" distL="114300" distR="114300" simplePos="0" relativeHeight="251676672" behindDoc="0" locked="0" layoutInCell="1" allowOverlap="1">
                  <wp:simplePos x="0" y="0"/>
                  <wp:positionH relativeFrom="column">
                    <wp:posOffset>4254500</wp:posOffset>
                  </wp:positionH>
                  <wp:positionV relativeFrom="paragraph">
                    <wp:posOffset>143510</wp:posOffset>
                  </wp:positionV>
                  <wp:extent cx="1923415" cy="2787650"/>
                  <wp:effectExtent l="0" t="0" r="6985" b="6350"/>
                  <wp:wrapNone/>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20"/>
                          <a:stretch>
                            <a:fillRect/>
                          </a:stretch>
                        </pic:blipFill>
                        <pic:spPr>
                          <a:xfrm>
                            <a:off x="0" y="0"/>
                            <a:ext cx="1923415" cy="2787650"/>
                          </a:xfrm>
                          <a:prstGeom prst="rect">
                            <a:avLst/>
                          </a:prstGeom>
                          <a:noFill/>
                          <a:ln>
                            <a:noFill/>
                          </a:ln>
                        </pic:spPr>
                      </pic:pic>
                    </a:graphicData>
                  </a:graphic>
                </wp:anchor>
              </w:drawing>
            </w:r>
            <w:r>
              <w:drawing>
                <wp:anchor distT="0" distB="0" distL="114300" distR="114300" simplePos="0" relativeHeight="251675648" behindDoc="0" locked="0" layoutInCell="1" allowOverlap="1">
                  <wp:simplePos x="0" y="0"/>
                  <wp:positionH relativeFrom="column">
                    <wp:posOffset>2063750</wp:posOffset>
                  </wp:positionH>
                  <wp:positionV relativeFrom="paragraph">
                    <wp:posOffset>137160</wp:posOffset>
                  </wp:positionV>
                  <wp:extent cx="2012950" cy="2780665"/>
                  <wp:effectExtent l="0" t="0" r="6350" b="635"/>
                  <wp:wrapNone/>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21"/>
                          <a:stretch>
                            <a:fillRect/>
                          </a:stretch>
                        </pic:blipFill>
                        <pic:spPr>
                          <a:xfrm>
                            <a:off x="0" y="0"/>
                            <a:ext cx="2012950" cy="2780665"/>
                          </a:xfrm>
                          <a:prstGeom prst="rect">
                            <a:avLst/>
                          </a:prstGeom>
                          <a:noFill/>
                          <a:ln>
                            <a:noFill/>
                          </a:ln>
                        </pic:spPr>
                      </pic:pic>
                    </a:graphicData>
                  </a:graphic>
                </wp:anchor>
              </w:drawing>
            </w:r>
            <w:r>
              <w:drawing>
                <wp:anchor distT="0" distB="0" distL="114300" distR="114300" simplePos="0" relativeHeight="251677696" behindDoc="0" locked="0" layoutInCell="1" allowOverlap="1">
                  <wp:simplePos x="0" y="0"/>
                  <wp:positionH relativeFrom="column">
                    <wp:posOffset>-12700</wp:posOffset>
                  </wp:positionH>
                  <wp:positionV relativeFrom="paragraph">
                    <wp:posOffset>118110</wp:posOffset>
                  </wp:positionV>
                  <wp:extent cx="1943735" cy="2804160"/>
                  <wp:effectExtent l="0" t="0" r="12065" b="2540"/>
                  <wp:wrapNone/>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2"/>
                          <a:stretch>
                            <a:fillRect/>
                          </a:stretch>
                        </pic:blipFill>
                        <pic:spPr>
                          <a:xfrm>
                            <a:off x="0" y="0"/>
                            <a:ext cx="1943735" cy="2804160"/>
                          </a:xfrm>
                          <a:prstGeom prst="rect">
                            <a:avLst/>
                          </a:prstGeom>
                          <a:noFill/>
                          <a:ln>
                            <a:noFill/>
                          </a:ln>
                        </pic:spPr>
                      </pic:pic>
                    </a:graphicData>
                  </a:graphic>
                </wp:anchor>
              </w:drawing>
            </w:r>
          </w:p>
          <w:p>
            <w:pPr>
              <w:pStyle w:val="4"/>
              <w:ind w:firstLine="420" w:firstLineChars="200"/>
              <w:rPr>
                <w:rFonts w:hint="eastAsia" w:ascii="宋体" w:hAnsi="宋体" w:eastAsia="宋体" w:cs="宋体"/>
                <w:color w:val="FF0000"/>
                <w:sz w:val="21"/>
                <w:szCs w:val="21"/>
                <w:lang w:val="en-US" w:eastAsia="zh-CN"/>
              </w:rPr>
            </w:pPr>
          </w:p>
          <w:p>
            <w:pPr>
              <w:pStyle w:val="4"/>
              <w:ind w:firstLine="420" w:firstLineChars="200"/>
              <w:rPr>
                <w:rFonts w:hint="eastAsia" w:ascii="宋体" w:hAnsi="宋体" w:eastAsia="宋体" w:cs="宋体"/>
                <w:color w:val="FF0000"/>
                <w:sz w:val="21"/>
                <w:szCs w:val="21"/>
                <w:lang w:val="en-US" w:eastAsia="zh-CN"/>
              </w:rPr>
            </w:pPr>
          </w:p>
          <w:p>
            <w:pPr>
              <w:pStyle w:val="4"/>
              <w:ind w:firstLine="420" w:firstLineChars="200"/>
              <w:rPr>
                <w:rFonts w:hint="eastAsia" w:ascii="宋体" w:hAnsi="宋体" w:eastAsia="宋体" w:cs="宋体"/>
                <w:color w:val="FF0000"/>
                <w:sz w:val="21"/>
                <w:szCs w:val="21"/>
                <w:lang w:val="en-US" w:eastAsia="zh-CN"/>
              </w:rPr>
            </w:pPr>
          </w:p>
          <w:p>
            <w:pPr>
              <w:pStyle w:val="4"/>
              <w:ind w:firstLine="420" w:firstLineChars="200"/>
              <w:rPr>
                <w:rFonts w:hint="eastAsia" w:ascii="宋体" w:hAnsi="宋体" w:eastAsia="宋体" w:cs="宋体"/>
                <w:color w:val="FF0000"/>
                <w:sz w:val="21"/>
                <w:szCs w:val="21"/>
                <w:lang w:val="en-US" w:eastAsia="zh-CN"/>
              </w:rPr>
            </w:pPr>
          </w:p>
          <w:p>
            <w:pPr>
              <w:pStyle w:val="4"/>
              <w:ind w:firstLine="420" w:firstLineChars="200"/>
              <w:rPr>
                <w:rFonts w:hint="eastAsia" w:ascii="宋体" w:hAnsi="宋体" w:eastAsia="宋体" w:cs="宋体"/>
                <w:color w:val="FF0000"/>
                <w:sz w:val="21"/>
                <w:szCs w:val="21"/>
                <w:lang w:val="en-US" w:eastAsia="zh-CN"/>
              </w:rPr>
            </w:pPr>
          </w:p>
          <w:p>
            <w:pPr>
              <w:pStyle w:val="4"/>
              <w:ind w:firstLine="420" w:firstLineChars="200"/>
              <w:rPr>
                <w:rFonts w:hint="eastAsia" w:ascii="宋体" w:hAnsi="宋体" w:eastAsia="宋体" w:cs="宋体"/>
                <w:color w:val="FF0000"/>
                <w:sz w:val="21"/>
                <w:szCs w:val="21"/>
                <w:lang w:val="en-US" w:eastAsia="zh-CN"/>
              </w:rPr>
            </w:pPr>
          </w:p>
          <w:p>
            <w:pPr>
              <w:pStyle w:val="4"/>
              <w:ind w:firstLine="420" w:firstLineChars="200"/>
              <w:rPr>
                <w:rFonts w:hint="eastAsia" w:ascii="宋体" w:hAnsi="宋体" w:eastAsia="宋体" w:cs="宋体"/>
                <w:color w:val="FF0000"/>
                <w:sz w:val="21"/>
                <w:szCs w:val="21"/>
                <w:lang w:val="en-US" w:eastAsia="zh-CN"/>
              </w:rPr>
            </w:pPr>
          </w:p>
          <w:p>
            <w:pPr>
              <w:pStyle w:val="4"/>
              <w:ind w:firstLine="420" w:firstLineChars="200"/>
              <w:rPr>
                <w:rFonts w:hint="eastAsia" w:ascii="宋体" w:hAnsi="宋体" w:eastAsia="宋体" w:cs="宋体"/>
                <w:color w:val="FF0000"/>
                <w:sz w:val="21"/>
                <w:szCs w:val="21"/>
                <w:lang w:val="en-US" w:eastAsia="zh-CN"/>
              </w:rPr>
            </w:pPr>
          </w:p>
          <w:p>
            <w:pPr>
              <w:pStyle w:val="4"/>
              <w:ind w:firstLine="420" w:firstLineChars="200"/>
              <w:rPr>
                <w:rFonts w:hint="eastAsia" w:ascii="宋体" w:hAnsi="宋体" w:eastAsia="宋体" w:cs="宋体"/>
                <w:color w:val="FF0000"/>
                <w:sz w:val="21"/>
                <w:szCs w:val="21"/>
                <w:lang w:val="en-US" w:eastAsia="zh-CN"/>
              </w:rPr>
            </w:pPr>
          </w:p>
          <w:p>
            <w:pPr>
              <w:pStyle w:val="4"/>
              <w:ind w:firstLine="420" w:firstLineChars="200"/>
              <w:rPr>
                <w:rFonts w:hint="eastAsia" w:ascii="宋体" w:hAnsi="宋体" w:eastAsia="宋体" w:cs="宋体"/>
                <w:color w:val="FF0000"/>
                <w:sz w:val="21"/>
                <w:szCs w:val="21"/>
                <w:lang w:val="en-US" w:eastAsia="zh-CN"/>
              </w:rPr>
            </w:pPr>
          </w:p>
          <w:p>
            <w:pPr>
              <w:pStyle w:val="4"/>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又查了合同编号：XASL-2020-022， 2020.7.7与陕西步长制药有限公司签订《2020年计量技术服务合同》，技术服务内容：计量技术服务</w:t>
            </w:r>
            <w:r>
              <w:rPr>
                <w:rFonts w:hint="eastAsia" w:ascii="宋体" w:hAnsi="宋体" w:cs="宋体"/>
                <w:color w:val="auto"/>
                <w:sz w:val="21"/>
                <w:szCs w:val="21"/>
                <w:lang w:val="en-US" w:eastAsia="zh-CN"/>
              </w:rPr>
              <w:t>，基本符合要求。</w:t>
            </w:r>
          </w:p>
          <w:p>
            <w:pPr>
              <w:pStyle w:val="4"/>
              <w:rPr>
                <w:rFonts w:hint="eastAsia" w:ascii="楷体" w:hAnsi="楷体" w:eastAsia="楷体" w:cs="宋体"/>
                <w:color w:val="auto"/>
                <w:sz w:val="21"/>
                <w:szCs w:val="21"/>
                <w:lang w:val="en-US" w:eastAsia="zh-CN"/>
              </w:rPr>
            </w:pPr>
            <w:r>
              <w:rPr>
                <w:rFonts w:hint="eastAsia" w:ascii="宋体" w:hAnsi="宋体" w:eastAsia="宋体" w:cs="宋体"/>
                <w:color w:val="auto"/>
                <w:sz w:val="21"/>
                <w:szCs w:val="21"/>
                <w:lang w:val="en-US" w:eastAsia="zh-CN"/>
              </w:rPr>
              <w:t>编制了《证书/报告控制程序》，查，校准证书编号，计量器具信息:委托方，委托地址，仪器名称，型号/规格，出厂编号，制造单位;校准证书批准人，核验人，校准人，计量器具接收日期，校准日期;校准技术依据，校准所使用的主要计量器具,校准地点和环境条件,校准结果,符合国家标准评定国家认可委员会(CNAS)对证书的要求,校准原始记录:校准器具的信息、测量参数、测量结论、测量过程，满足计量器具的相关检定规程要求</w:t>
            </w:r>
            <w:r>
              <w:rPr>
                <w:rFonts w:hint="eastAsia" w:ascii="楷体" w:hAnsi="楷体" w:eastAsia="楷体" w:cs="宋体"/>
                <w:color w:val="auto"/>
                <w:sz w:val="21"/>
                <w:szCs w:val="21"/>
                <w:lang w:val="en-US" w:eastAsia="zh-CN"/>
              </w:rPr>
              <w:t>。</w:t>
            </w:r>
          </w:p>
          <w:p>
            <w:pPr>
              <w:spacing w:line="360" w:lineRule="auto"/>
              <w:ind w:firstLine="420" w:firstLineChars="200"/>
              <w:rPr>
                <w:rFonts w:hint="eastAsia" w:ascii="楷体" w:hAnsi="楷体" w:eastAsia="楷体" w:cs="宋体"/>
                <w:color w:val="FF0000"/>
                <w:kern w:val="2"/>
                <w:sz w:val="21"/>
                <w:szCs w:val="21"/>
                <w:lang w:val="en-US" w:eastAsia="zh-CN" w:bidi="ar-SA"/>
              </w:rPr>
            </w:pPr>
            <w:r>
              <w:rPr>
                <w:rFonts w:hint="eastAsia"/>
                <w:color w:val="auto"/>
                <w:lang w:val="en-US" w:eastAsia="zh-CN"/>
              </w:rPr>
              <w:t>检验报告封面有CMA和公司标识，</w:t>
            </w:r>
            <w:r>
              <w:rPr>
                <w:rFonts w:hint="eastAsia"/>
                <w:color w:val="auto"/>
              </w:rPr>
              <w:t>基本符合要求。</w:t>
            </w:r>
          </w:p>
        </w:tc>
        <w:tc>
          <w:tcPr>
            <w:tcW w:w="1585" w:type="dxa"/>
          </w:tcPr>
          <w:p>
            <w:pPr>
              <w:rPr>
                <w:rFonts w:hint="eastAsia" w:ascii="宋体" w:hAnsi="宋体" w:eastAsia="宋体" w:cs="宋体"/>
              </w:rPr>
            </w:pPr>
          </w:p>
        </w:tc>
      </w:tr>
    </w:tbl>
    <w:p>
      <w:r>
        <w:ptab w:relativeTo="margin" w:alignment="center" w:leader="none"/>
      </w:r>
    </w:p>
    <w:p/>
    <w:p>
      <w:pPr>
        <w:pStyle w:val="12"/>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Verdana">
    <w:panose1 w:val="020B0604030504040204"/>
    <w:charset w:val="00"/>
    <w:family w:val="swiss"/>
    <w:pitch w:val="default"/>
    <w:sig w:usb0="A00006FF" w:usb1="4000205B" w:usb2="00000010" w:usb3="00000000" w:csb0="2000019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2"/>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w:t>
            </w:r>
            <w:r>
              <w:rPr>
                <w:b/>
                <w:sz w:val="24"/>
                <w:szCs w:val="24"/>
              </w:rPr>
              <w:fldChar w:fldCharType="end"/>
            </w:r>
          </w:p>
        </w:sdtContent>
      </w:sdt>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13"/>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0" b="127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Qaq5dYAAAAKAQAADwAAAAAAAAABACAAAAAiAAAAZHJzL2Rvd25yZXYueG1sUEsBAhQAFAAA&#10;AAgAh07iQNRv0G8qAgAAPgQAAA4AAAAAAAAAAQAgAAAAJQEAAGRycy9lMm9Eb2MueG1sUEsFBgAA&#10;AAAGAAYAWQEAAMEFA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20"/>
        <w:rFonts w:hint="default"/>
        <w:w w:val="90"/>
      </w:rPr>
      <w:t>Beijing International Standard united Certification Co.,Ltd.</w:t>
    </w:r>
  </w:p>
  <w:p>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B80"/>
    <w:rsid w:val="0001713F"/>
    <w:rsid w:val="000259AC"/>
    <w:rsid w:val="000B7900"/>
    <w:rsid w:val="000D6436"/>
    <w:rsid w:val="001032CB"/>
    <w:rsid w:val="001538EB"/>
    <w:rsid w:val="001541DA"/>
    <w:rsid w:val="001A2755"/>
    <w:rsid w:val="001E2BA0"/>
    <w:rsid w:val="00297B6F"/>
    <w:rsid w:val="002D1F1C"/>
    <w:rsid w:val="00376607"/>
    <w:rsid w:val="003852FD"/>
    <w:rsid w:val="00411CE7"/>
    <w:rsid w:val="0044635D"/>
    <w:rsid w:val="00477697"/>
    <w:rsid w:val="004B16A6"/>
    <w:rsid w:val="004E08A4"/>
    <w:rsid w:val="00500C21"/>
    <w:rsid w:val="005E75BA"/>
    <w:rsid w:val="005F58CE"/>
    <w:rsid w:val="006350F0"/>
    <w:rsid w:val="0066443D"/>
    <w:rsid w:val="0068005C"/>
    <w:rsid w:val="006C3B64"/>
    <w:rsid w:val="006E7A70"/>
    <w:rsid w:val="00734419"/>
    <w:rsid w:val="007420C5"/>
    <w:rsid w:val="007536EE"/>
    <w:rsid w:val="007B1A3B"/>
    <w:rsid w:val="007F5845"/>
    <w:rsid w:val="00802252"/>
    <w:rsid w:val="00834B09"/>
    <w:rsid w:val="00893291"/>
    <w:rsid w:val="008E0C8E"/>
    <w:rsid w:val="008E45B6"/>
    <w:rsid w:val="0094266C"/>
    <w:rsid w:val="00954EA8"/>
    <w:rsid w:val="009B7866"/>
    <w:rsid w:val="009C3AF7"/>
    <w:rsid w:val="00A07938"/>
    <w:rsid w:val="00A3276E"/>
    <w:rsid w:val="00AA2D83"/>
    <w:rsid w:val="00AB7281"/>
    <w:rsid w:val="00B01EF6"/>
    <w:rsid w:val="00B325A1"/>
    <w:rsid w:val="00B33B39"/>
    <w:rsid w:val="00BB5BDD"/>
    <w:rsid w:val="00BB6546"/>
    <w:rsid w:val="00BE0E37"/>
    <w:rsid w:val="00BF540D"/>
    <w:rsid w:val="00C23315"/>
    <w:rsid w:val="00C343F0"/>
    <w:rsid w:val="00C45B28"/>
    <w:rsid w:val="00CB6525"/>
    <w:rsid w:val="00D5752A"/>
    <w:rsid w:val="00DD4B80"/>
    <w:rsid w:val="00E113F1"/>
    <w:rsid w:val="00E238F5"/>
    <w:rsid w:val="00E345F7"/>
    <w:rsid w:val="00E412FC"/>
    <w:rsid w:val="00E5540F"/>
    <w:rsid w:val="00EF3EBB"/>
    <w:rsid w:val="00F13AB9"/>
    <w:rsid w:val="00F60F0B"/>
    <w:rsid w:val="00F66D86"/>
    <w:rsid w:val="00F67463"/>
    <w:rsid w:val="00F922A5"/>
    <w:rsid w:val="00FB75CB"/>
    <w:rsid w:val="00FD12F5"/>
    <w:rsid w:val="00FD6519"/>
    <w:rsid w:val="01304109"/>
    <w:rsid w:val="02FD3C5D"/>
    <w:rsid w:val="0358271A"/>
    <w:rsid w:val="03705B95"/>
    <w:rsid w:val="03CD76A8"/>
    <w:rsid w:val="04892300"/>
    <w:rsid w:val="049145A4"/>
    <w:rsid w:val="04F3757C"/>
    <w:rsid w:val="05C27E71"/>
    <w:rsid w:val="05F821C1"/>
    <w:rsid w:val="067C699F"/>
    <w:rsid w:val="06BA30F2"/>
    <w:rsid w:val="06D465EC"/>
    <w:rsid w:val="070C3B78"/>
    <w:rsid w:val="075710FE"/>
    <w:rsid w:val="079D2EB9"/>
    <w:rsid w:val="07BB1345"/>
    <w:rsid w:val="07C902D0"/>
    <w:rsid w:val="0813265E"/>
    <w:rsid w:val="081947C2"/>
    <w:rsid w:val="08555398"/>
    <w:rsid w:val="08CE13B5"/>
    <w:rsid w:val="08DC34E6"/>
    <w:rsid w:val="08FD51C9"/>
    <w:rsid w:val="090E5D15"/>
    <w:rsid w:val="09565C32"/>
    <w:rsid w:val="09662CFB"/>
    <w:rsid w:val="098576D0"/>
    <w:rsid w:val="09A004A0"/>
    <w:rsid w:val="09D66353"/>
    <w:rsid w:val="0B2B1110"/>
    <w:rsid w:val="0BF742DF"/>
    <w:rsid w:val="0DED2B38"/>
    <w:rsid w:val="0DEF2265"/>
    <w:rsid w:val="0E141628"/>
    <w:rsid w:val="0E55254D"/>
    <w:rsid w:val="0E55344A"/>
    <w:rsid w:val="0E6B3ADE"/>
    <w:rsid w:val="0E773D43"/>
    <w:rsid w:val="0E873F41"/>
    <w:rsid w:val="0EF95615"/>
    <w:rsid w:val="0EFA2C7C"/>
    <w:rsid w:val="0F3C1D64"/>
    <w:rsid w:val="0F446BB8"/>
    <w:rsid w:val="0FEC77A2"/>
    <w:rsid w:val="103274FB"/>
    <w:rsid w:val="10807825"/>
    <w:rsid w:val="1093370C"/>
    <w:rsid w:val="10DC6F9C"/>
    <w:rsid w:val="10FC7069"/>
    <w:rsid w:val="10FE1E26"/>
    <w:rsid w:val="11191B99"/>
    <w:rsid w:val="11284673"/>
    <w:rsid w:val="11486339"/>
    <w:rsid w:val="115D0060"/>
    <w:rsid w:val="1178793D"/>
    <w:rsid w:val="1220104F"/>
    <w:rsid w:val="128064A8"/>
    <w:rsid w:val="12C633EC"/>
    <w:rsid w:val="13484B18"/>
    <w:rsid w:val="13545603"/>
    <w:rsid w:val="13882863"/>
    <w:rsid w:val="13D35327"/>
    <w:rsid w:val="144C003C"/>
    <w:rsid w:val="145B4749"/>
    <w:rsid w:val="147139DD"/>
    <w:rsid w:val="14985001"/>
    <w:rsid w:val="150C08A1"/>
    <w:rsid w:val="15452B6C"/>
    <w:rsid w:val="15A57A90"/>
    <w:rsid w:val="15E2796E"/>
    <w:rsid w:val="16A34FB2"/>
    <w:rsid w:val="16F82FBD"/>
    <w:rsid w:val="17261E13"/>
    <w:rsid w:val="177652EA"/>
    <w:rsid w:val="18263A39"/>
    <w:rsid w:val="18284413"/>
    <w:rsid w:val="18537335"/>
    <w:rsid w:val="199425EB"/>
    <w:rsid w:val="19AE679E"/>
    <w:rsid w:val="1A837D2F"/>
    <w:rsid w:val="1B5846D6"/>
    <w:rsid w:val="1B7B258D"/>
    <w:rsid w:val="1B8074BF"/>
    <w:rsid w:val="1B84458B"/>
    <w:rsid w:val="1BB0762D"/>
    <w:rsid w:val="1BF85CDE"/>
    <w:rsid w:val="1C2D4A69"/>
    <w:rsid w:val="1C503D2C"/>
    <w:rsid w:val="1CD4402D"/>
    <w:rsid w:val="1D1E5216"/>
    <w:rsid w:val="1D495F45"/>
    <w:rsid w:val="1D57493F"/>
    <w:rsid w:val="1D5C6FE6"/>
    <w:rsid w:val="1D67708B"/>
    <w:rsid w:val="1E1B03CB"/>
    <w:rsid w:val="1E2406E8"/>
    <w:rsid w:val="1E52424C"/>
    <w:rsid w:val="1EBA7B7A"/>
    <w:rsid w:val="1F114306"/>
    <w:rsid w:val="20955F13"/>
    <w:rsid w:val="21081BA7"/>
    <w:rsid w:val="21BB3B30"/>
    <w:rsid w:val="21F54A5D"/>
    <w:rsid w:val="22012740"/>
    <w:rsid w:val="22180E53"/>
    <w:rsid w:val="22237ABD"/>
    <w:rsid w:val="22A163D5"/>
    <w:rsid w:val="22AA599E"/>
    <w:rsid w:val="22AC427D"/>
    <w:rsid w:val="233D7329"/>
    <w:rsid w:val="23591F63"/>
    <w:rsid w:val="236B2397"/>
    <w:rsid w:val="23D22493"/>
    <w:rsid w:val="23E55F98"/>
    <w:rsid w:val="23F14D1A"/>
    <w:rsid w:val="249547D7"/>
    <w:rsid w:val="24C52E05"/>
    <w:rsid w:val="24E255E4"/>
    <w:rsid w:val="24E94F0B"/>
    <w:rsid w:val="2540656B"/>
    <w:rsid w:val="256D34C3"/>
    <w:rsid w:val="25846127"/>
    <w:rsid w:val="265550AC"/>
    <w:rsid w:val="26637E3F"/>
    <w:rsid w:val="26935ECE"/>
    <w:rsid w:val="269B487A"/>
    <w:rsid w:val="2707671E"/>
    <w:rsid w:val="276C6377"/>
    <w:rsid w:val="27A80535"/>
    <w:rsid w:val="27D31648"/>
    <w:rsid w:val="280D3DB5"/>
    <w:rsid w:val="286A2476"/>
    <w:rsid w:val="28A905C8"/>
    <w:rsid w:val="28C134B5"/>
    <w:rsid w:val="292F5FEC"/>
    <w:rsid w:val="293955D3"/>
    <w:rsid w:val="295A0EA6"/>
    <w:rsid w:val="297656A6"/>
    <w:rsid w:val="29C33C02"/>
    <w:rsid w:val="2A011C4C"/>
    <w:rsid w:val="2A3A3EC1"/>
    <w:rsid w:val="2A635B96"/>
    <w:rsid w:val="2ADB74D7"/>
    <w:rsid w:val="2B351060"/>
    <w:rsid w:val="2B7B4E18"/>
    <w:rsid w:val="2C3C70E9"/>
    <w:rsid w:val="2C6314AC"/>
    <w:rsid w:val="2C8144CD"/>
    <w:rsid w:val="2CF82669"/>
    <w:rsid w:val="2DA830D9"/>
    <w:rsid w:val="2DB43D9E"/>
    <w:rsid w:val="2DC2405E"/>
    <w:rsid w:val="2E221C49"/>
    <w:rsid w:val="2E9E735A"/>
    <w:rsid w:val="2EB43EF7"/>
    <w:rsid w:val="2F257D41"/>
    <w:rsid w:val="2FC36B68"/>
    <w:rsid w:val="30310A87"/>
    <w:rsid w:val="30560633"/>
    <w:rsid w:val="305E5180"/>
    <w:rsid w:val="30C72393"/>
    <w:rsid w:val="30E36CD9"/>
    <w:rsid w:val="31782699"/>
    <w:rsid w:val="31A310B3"/>
    <w:rsid w:val="31BE13FB"/>
    <w:rsid w:val="33035FB5"/>
    <w:rsid w:val="33964A07"/>
    <w:rsid w:val="343247FF"/>
    <w:rsid w:val="348C1708"/>
    <w:rsid w:val="34F506F2"/>
    <w:rsid w:val="35726166"/>
    <w:rsid w:val="357A31AD"/>
    <w:rsid w:val="35B66F18"/>
    <w:rsid w:val="35BA606F"/>
    <w:rsid w:val="35F96CAA"/>
    <w:rsid w:val="360C5856"/>
    <w:rsid w:val="362D58B4"/>
    <w:rsid w:val="36861C2F"/>
    <w:rsid w:val="36A05FA1"/>
    <w:rsid w:val="36C84405"/>
    <w:rsid w:val="36E05C97"/>
    <w:rsid w:val="38674CA1"/>
    <w:rsid w:val="38946726"/>
    <w:rsid w:val="38CF010C"/>
    <w:rsid w:val="38EF6639"/>
    <w:rsid w:val="38FA5B29"/>
    <w:rsid w:val="394A040F"/>
    <w:rsid w:val="39882D60"/>
    <w:rsid w:val="3A0C487C"/>
    <w:rsid w:val="3ABC3105"/>
    <w:rsid w:val="3B3F50A2"/>
    <w:rsid w:val="3B5D2A45"/>
    <w:rsid w:val="3B911005"/>
    <w:rsid w:val="3BE57209"/>
    <w:rsid w:val="3C440D19"/>
    <w:rsid w:val="3C504D4B"/>
    <w:rsid w:val="3C526738"/>
    <w:rsid w:val="3C903381"/>
    <w:rsid w:val="3C9E1151"/>
    <w:rsid w:val="3D242292"/>
    <w:rsid w:val="3DE9530E"/>
    <w:rsid w:val="3E256747"/>
    <w:rsid w:val="3E660AD6"/>
    <w:rsid w:val="3EA14DEA"/>
    <w:rsid w:val="3EB403E8"/>
    <w:rsid w:val="3EB52881"/>
    <w:rsid w:val="3F266A30"/>
    <w:rsid w:val="3F6F23DD"/>
    <w:rsid w:val="3FCC3ADF"/>
    <w:rsid w:val="3FE576F8"/>
    <w:rsid w:val="400C55F1"/>
    <w:rsid w:val="40773153"/>
    <w:rsid w:val="407A23BB"/>
    <w:rsid w:val="409D4DC4"/>
    <w:rsid w:val="414E41D7"/>
    <w:rsid w:val="418035D9"/>
    <w:rsid w:val="41BB1456"/>
    <w:rsid w:val="41E812B4"/>
    <w:rsid w:val="42282E97"/>
    <w:rsid w:val="42CA4E41"/>
    <w:rsid w:val="42CC38B0"/>
    <w:rsid w:val="42D074F7"/>
    <w:rsid w:val="42FC4513"/>
    <w:rsid w:val="43242FF3"/>
    <w:rsid w:val="43995A8F"/>
    <w:rsid w:val="43BF209B"/>
    <w:rsid w:val="440F1DC4"/>
    <w:rsid w:val="452208E6"/>
    <w:rsid w:val="453A481E"/>
    <w:rsid w:val="4580257A"/>
    <w:rsid w:val="458A7495"/>
    <w:rsid w:val="45D72591"/>
    <w:rsid w:val="45F57F6B"/>
    <w:rsid w:val="46561E53"/>
    <w:rsid w:val="46570418"/>
    <w:rsid w:val="46774F5A"/>
    <w:rsid w:val="46B21961"/>
    <w:rsid w:val="46B90406"/>
    <w:rsid w:val="46C930AA"/>
    <w:rsid w:val="46E701CA"/>
    <w:rsid w:val="472C5F99"/>
    <w:rsid w:val="4745758C"/>
    <w:rsid w:val="478E2F70"/>
    <w:rsid w:val="47972F66"/>
    <w:rsid w:val="47C17EA2"/>
    <w:rsid w:val="48491F8D"/>
    <w:rsid w:val="48850B8B"/>
    <w:rsid w:val="48905A36"/>
    <w:rsid w:val="48F006B7"/>
    <w:rsid w:val="49423413"/>
    <w:rsid w:val="49424B1C"/>
    <w:rsid w:val="4A43488C"/>
    <w:rsid w:val="4A551A01"/>
    <w:rsid w:val="4A730A2A"/>
    <w:rsid w:val="4A7B6415"/>
    <w:rsid w:val="4AFD070E"/>
    <w:rsid w:val="4B493B54"/>
    <w:rsid w:val="4C0F4361"/>
    <w:rsid w:val="4C612065"/>
    <w:rsid w:val="4CC06AA5"/>
    <w:rsid w:val="4CC205DC"/>
    <w:rsid w:val="4CE01DB7"/>
    <w:rsid w:val="4CE16A70"/>
    <w:rsid w:val="4D0737A5"/>
    <w:rsid w:val="4D487502"/>
    <w:rsid w:val="4DD146CE"/>
    <w:rsid w:val="4E9845E6"/>
    <w:rsid w:val="4EB410AB"/>
    <w:rsid w:val="4EF40F32"/>
    <w:rsid w:val="4F0E76AD"/>
    <w:rsid w:val="4F355620"/>
    <w:rsid w:val="4F7B4A3A"/>
    <w:rsid w:val="4FD635DB"/>
    <w:rsid w:val="50AD135C"/>
    <w:rsid w:val="50EA1CDA"/>
    <w:rsid w:val="515537FE"/>
    <w:rsid w:val="51743E40"/>
    <w:rsid w:val="520244B9"/>
    <w:rsid w:val="52BB077C"/>
    <w:rsid w:val="52CD303A"/>
    <w:rsid w:val="52F732A5"/>
    <w:rsid w:val="530B3E0D"/>
    <w:rsid w:val="534F35D0"/>
    <w:rsid w:val="538C3E49"/>
    <w:rsid w:val="53BD42D5"/>
    <w:rsid w:val="544F369E"/>
    <w:rsid w:val="54754936"/>
    <w:rsid w:val="54A01E6D"/>
    <w:rsid w:val="551C6A7C"/>
    <w:rsid w:val="554E2044"/>
    <w:rsid w:val="5563490B"/>
    <w:rsid w:val="55D54B44"/>
    <w:rsid w:val="56123E84"/>
    <w:rsid w:val="56B2789F"/>
    <w:rsid w:val="56C8191F"/>
    <w:rsid w:val="56E5086E"/>
    <w:rsid w:val="570F6398"/>
    <w:rsid w:val="57297D57"/>
    <w:rsid w:val="576D7AB2"/>
    <w:rsid w:val="581B64FA"/>
    <w:rsid w:val="58831853"/>
    <w:rsid w:val="58D734BB"/>
    <w:rsid w:val="590A2D30"/>
    <w:rsid w:val="59837DDA"/>
    <w:rsid w:val="598840E7"/>
    <w:rsid w:val="59933E41"/>
    <w:rsid w:val="599806C3"/>
    <w:rsid w:val="59C86E83"/>
    <w:rsid w:val="5A264CB6"/>
    <w:rsid w:val="5A7F66C0"/>
    <w:rsid w:val="5AA56731"/>
    <w:rsid w:val="5B566DD5"/>
    <w:rsid w:val="5B5E5B95"/>
    <w:rsid w:val="5B6D261C"/>
    <w:rsid w:val="5BA92E00"/>
    <w:rsid w:val="5BB11B25"/>
    <w:rsid w:val="5BD056AC"/>
    <w:rsid w:val="5BE43EE2"/>
    <w:rsid w:val="5BEA2AB8"/>
    <w:rsid w:val="5C193B9E"/>
    <w:rsid w:val="5C3761DC"/>
    <w:rsid w:val="5C3B260D"/>
    <w:rsid w:val="5D75156A"/>
    <w:rsid w:val="5DBA6A41"/>
    <w:rsid w:val="5E95653E"/>
    <w:rsid w:val="5EE17D6C"/>
    <w:rsid w:val="5EEF52D7"/>
    <w:rsid w:val="5F03245D"/>
    <w:rsid w:val="5F085F6D"/>
    <w:rsid w:val="5F336DA5"/>
    <w:rsid w:val="5F382F8A"/>
    <w:rsid w:val="5F47341F"/>
    <w:rsid w:val="6008644D"/>
    <w:rsid w:val="60C24E7C"/>
    <w:rsid w:val="60CD5BAF"/>
    <w:rsid w:val="60F57DB5"/>
    <w:rsid w:val="610E3361"/>
    <w:rsid w:val="6133439E"/>
    <w:rsid w:val="617500C1"/>
    <w:rsid w:val="61BE26FF"/>
    <w:rsid w:val="61FE2979"/>
    <w:rsid w:val="6243600E"/>
    <w:rsid w:val="62BF5F83"/>
    <w:rsid w:val="632378C8"/>
    <w:rsid w:val="6366472B"/>
    <w:rsid w:val="636E339D"/>
    <w:rsid w:val="637C3F6C"/>
    <w:rsid w:val="63896AAB"/>
    <w:rsid w:val="63D23FCC"/>
    <w:rsid w:val="63F02D6E"/>
    <w:rsid w:val="63F7207D"/>
    <w:rsid w:val="6471711F"/>
    <w:rsid w:val="64866EAE"/>
    <w:rsid w:val="652546CA"/>
    <w:rsid w:val="655D66DC"/>
    <w:rsid w:val="65793194"/>
    <w:rsid w:val="6649052C"/>
    <w:rsid w:val="665E7B8A"/>
    <w:rsid w:val="66AD5CCF"/>
    <w:rsid w:val="6736736E"/>
    <w:rsid w:val="67F977CC"/>
    <w:rsid w:val="68005BDA"/>
    <w:rsid w:val="687D5258"/>
    <w:rsid w:val="688144D0"/>
    <w:rsid w:val="689A1B70"/>
    <w:rsid w:val="68D6011F"/>
    <w:rsid w:val="68E15D72"/>
    <w:rsid w:val="697A2F27"/>
    <w:rsid w:val="697F13C6"/>
    <w:rsid w:val="69DF2FA3"/>
    <w:rsid w:val="6A03260D"/>
    <w:rsid w:val="6A337D7F"/>
    <w:rsid w:val="6AAE248D"/>
    <w:rsid w:val="6AD922B1"/>
    <w:rsid w:val="6B344F15"/>
    <w:rsid w:val="6B496264"/>
    <w:rsid w:val="6B4B57AD"/>
    <w:rsid w:val="6B59252A"/>
    <w:rsid w:val="6B9B70E9"/>
    <w:rsid w:val="6BEB0C6B"/>
    <w:rsid w:val="6C410583"/>
    <w:rsid w:val="6C5517F8"/>
    <w:rsid w:val="6C9E1ECB"/>
    <w:rsid w:val="6CDA5CC1"/>
    <w:rsid w:val="6D3946F3"/>
    <w:rsid w:val="6D517C23"/>
    <w:rsid w:val="6E973995"/>
    <w:rsid w:val="6EA4331F"/>
    <w:rsid w:val="6EF073AE"/>
    <w:rsid w:val="6F5C5F71"/>
    <w:rsid w:val="6FD13025"/>
    <w:rsid w:val="70646E95"/>
    <w:rsid w:val="709F213C"/>
    <w:rsid w:val="711018A1"/>
    <w:rsid w:val="711A7770"/>
    <w:rsid w:val="713C1464"/>
    <w:rsid w:val="71593975"/>
    <w:rsid w:val="715C7359"/>
    <w:rsid w:val="7165529B"/>
    <w:rsid w:val="717A1220"/>
    <w:rsid w:val="71E10BA9"/>
    <w:rsid w:val="722D4520"/>
    <w:rsid w:val="725C175D"/>
    <w:rsid w:val="726445A8"/>
    <w:rsid w:val="727C16FF"/>
    <w:rsid w:val="72BB440D"/>
    <w:rsid w:val="72F17470"/>
    <w:rsid w:val="73395629"/>
    <w:rsid w:val="738D0226"/>
    <w:rsid w:val="738E3EC2"/>
    <w:rsid w:val="73A8345B"/>
    <w:rsid w:val="73BC143A"/>
    <w:rsid w:val="73BD4784"/>
    <w:rsid w:val="74942064"/>
    <w:rsid w:val="749A13DF"/>
    <w:rsid w:val="74D96F99"/>
    <w:rsid w:val="755B0C90"/>
    <w:rsid w:val="75B31D86"/>
    <w:rsid w:val="761F1329"/>
    <w:rsid w:val="762B5068"/>
    <w:rsid w:val="768B1820"/>
    <w:rsid w:val="76986104"/>
    <w:rsid w:val="77096523"/>
    <w:rsid w:val="773639AE"/>
    <w:rsid w:val="77810AA3"/>
    <w:rsid w:val="77CB5783"/>
    <w:rsid w:val="77E7719B"/>
    <w:rsid w:val="78123771"/>
    <w:rsid w:val="784F5A1A"/>
    <w:rsid w:val="78795B26"/>
    <w:rsid w:val="78D30337"/>
    <w:rsid w:val="796214DF"/>
    <w:rsid w:val="79666F56"/>
    <w:rsid w:val="79717A20"/>
    <w:rsid w:val="79A448B7"/>
    <w:rsid w:val="7B047F98"/>
    <w:rsid w:val="7B0D51FF"/>
    <w:rsid w:val="7B3A4A90"/>
    <w:rsid w:val="7B45491C"/>
    <w:rsid w:val="7BA7005A"/>
    <w:rsid w:val="7BDF7651"/>
    <w:rsid w:val="7C0C6300"/>
    <w:rsid w:val="7C3F7DA6"/>
    <w:rsid w:val="7C592391"/>
    <w:rsid w:val="7C8479B1"/>
    <w:rsid w:val="7D2D4FAC"/>
    <w:rsid w:val="7DF43AFE"/>
    <w:rsid w:val="7DF753B5"/>
    <w:rsid w:val="7E355215"/>
    <w:rsid w:val="7E505001"/>
    <w:rsid w:val="7E9A65DB"/>
    <w:rsid w:val="7EE31489"/>
    <w:rsid w:val="7EEB3EAF"/>
    <w:rsid w:val="7F333E41"/>
    <w:rsid w:val="7FFB74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w:basedOn w:val="1"/>
    <w:next w:val="5"/>
    <w:unhideWhenUsed/>
    <w:qFormat/>
    <w:uiPriority w:val="99"/>
    <w:pPr>
      <w:spacing w:line="420" w:lineRule="exact"/>
    </w:pPr>
    <w:rPr>
      <w:sz w:val="24"/>
    </w:rPr>
  </w:style>
  <w:style w:type="paragraph" w:customStyle="1" w:styleId="5">
    <w:name w:val="一级条标题"/>
    <w:basedOn w:val="6"/>
    <w:next w:val="7"/>
    <w:qFormat/>
    <w:uiPriority w:val="0"/>
    <w:pPr>
      <w:spacing w:line="240" w:lineRule="auto"/>
      <w:ind w:left="420"/>
      <w:outlineLvl w:val="2"/>
    </w:pPr>
  </w:style>
  <w:style w:type="paragraph" w:customStyle="1" w:styleId="6">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7">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8">
    <w:name w:val="Body Text Indent"/>
    <w:basedOn w:val="1"/>
    <w:next w:val="9"/>
    <w:link w:val="23"/>
    <w:qFormat/>
    <w:uiPriority w:val="0"/>
    <w:pPr>
      <w:ind w:left="360"/>
    </w:pPr>
    <w:rPr>
      <w:rFonts w:ascii="宋体"/>
      <w:sz w:val="20"/>
    </w:rPr>
  </w:style>
  <w:style w:type="paragraph" w:styleId="9">
    <w:name w:val="envelope return"/>
    <w:basedOn w:val="1"/>
    <w:qFormat/>
    <w:uiPriority w:val="0"/>
    <w:pPr>
      <w:snapToGrid w:val="0"/>
    </w:pPr>
    <w:rPr>
      <w:rFonts w:ascii="Arial" w:hAnsi="Arial"/>
    </w:rPr>
  </w:style>
  <w:style w:type="paragraph" w:styleId="10">
    <w:name w:val="Plain Text"/>
    <w:basedOn w:val="1"/>
    <w:qFormat/>
    <w:uiPriority w:val="0"/>
    <w:rPr>
      <w:rFonts w:ascii="宋体" w:hAnsi="Courier New" w:cs="Courier New"/>
      <w:szCs w:val="21"/>
    </w:rPr>
  </w:style>
  <w:style w:type="paragraph" w:styleId="11">
    <w:name w:val="Balloon Text"/>
    <w:basedOn w:val="1"/>
    <w:link w:val="19"/>
    <w:semiHidden/>
    <w:unhideWhenUsed/>
    <w:qFormat/>
    <w:uiPriority w:val="99"/>
    <w:rPr>
      <w:sz w:val="18"/>
      <w:szCs w:val="18"/>
    </w:rPr>
  </w:style>
  <w:style w:type="paragraph" w:styleId="12">
    <w:name w:val="footer"/>
    <w:basedOn w:val="1"/>
    <w:link w:val="18"/>
    <w:unhideWhenUsed/>
    <w:qFormat/>
    <w:uiPriority w:val="99"/>
    <w:pPr>
      <w:tabs>
        <w:tab w:val="center" w:pos="4153"/>
        <w:tab w:val="right" w:pos="8306"/>
      </w:tabs>
      <w:snapToGrid w:val="0"/>
      <w:jc w:val="left"/>
    </w:pPr>
    <w:rPr>
      <w:sz w:val="18"/>
      <w:szCs w:val="18"/>
    </w:rPr>
  </w:style>
  <w:style w:type="paragraph" w:styleId="13">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First Indent 2"/>
    <w:basedOn w:val="8"/>
    <w:qFormat/>
    <w:uiPriority w:val="0"/>
    <w:pPr>
      <w:ind w:left="420" w:firstLine="420" w:firstLineChars="200"/>
    </w:pPr>
  </w:style>
  <w:style w:type="character" w:customStyle="1" w:styleId="17">
    <w:name w:val="页眉 字符"/>
    <w:basedOn w:val="16"/>
    <w:link w:val="13"/>
    <w:qFormat/>
    <w:uiPriority w:val="99"/>
    <w:rPr>
      <w:rFonts w:ascii="Times New Roman" w:hAnsi="Times New Roman" w:eastAsia="宋体" w:cs="Times New Roman"/>
      <w:sz w:val="18"/>
      <w:szCs w:val="18"/>
    </w:rPr>
  </w:style>
  <w:style w:type="character" w:customStyle="1" w:styleId="18">
    <w:name w:val="页脚 字符"/>
    <w:basedOn w:val="16"/>
    <w:link w:val="12"/>
    <w:qFormat/>
    <w:uiPriority w:val="99"/>
    <w:rPr>
      <w:rFonts w:ascii="Times New Roman" w:hAnsi="Times New Roman" w:eastAsia="宋体" w:cs="Times New Roman"/>
      <w:sz w:val="18"/>
      <w:szCs w:val="18"/>
    </w:rPr>
  </w:style>
  <w:style w:type="character" w:customStyle="1" w:styleId="19">
    <w:name w:val="批注框文本 字符"/>
    <w:basedOn w:val="16"/>
    <w:link w:val="11"/>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_Style 2"/>
    <w:basedOn w:val="1"/>
    <w:qFormat/>
    <w:uiPriority w:val="34"/>
    <w:pPr>
      <w:ind w:firstLine="420" w:firstLineChars="200"/>
    </w:pPr>
    <w:rPr>
      <w:rFonts w:ascii="Calibri" w:hAnsi="Calibri"/>
      <w:sz w:val="24"/>
      <w:szCs w:val="22"/>
    </w:rPr>
  </w:style>
  <w:style w:type="paragraph" w:customStyle="1" w:styleId="22">
    <w:name w:val="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23">
    <w:name w:val="正文文本缩进 字符"/>
    <w:basedOn w:val="16"/>
    <w:link w:val="8"/>
    <w:qFormat/>
    <w:uiPriority w:val="0"/>
    <w:rPr>
      <w:rFonts w:ascii="宋体" w:hAnsi="Times New Roman" w:eastAsia="宋体" w:cs="Times New Roman"/>
      <w:kern w:val="2"/>
    </w:rPr>
  </w:style>
  <w:style w:type="paragraph" w:styleId="24">
    <w:name w:val="List Paragraph"/>
    <w:basedOn w:val="1"/>
    <w:qFormat/>
    <w:uiPriority w:val="99"/>
    <w:pPr>
      <w:ind w:firstLine="420" w:firstLineChars="200"/>
    </w:pPr>
  </w:style>
  <w:style w:type="paragraph" w:customStyle="1" w:styleId="25">
    <w:name w:val="表格文字"/>
    <w:basedOn w:val="1"/>
    <w:qFormat/>
    <w:uiPriority w:val="99"/>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721</Words>
  <Characters>4111</Characters>
  <Lines>34</Lines>
  <Paragraphs>9</Paragraphs>
  <TotalTime>0</TotalTime>
  <ScaleCrop>false</ScaleCrop>
  <LinksUpToDate>false</LinksUpToDate>
  <CharactersWithSpaces>4823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2020-10-03T03:40:00Z</dcterms:created>
  <dc:creator>微软用户</dc:creator>
  <cp:lastModifiedBy>郭力</cp:lastModifiedBy>
  <dcterms:modified xsi:type="dcterms:W3CDTF">2021-05-17T01:42:51Z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2A715842AAF648ADBE5B86BBA0DA5B8B</vt:lpwstr>
  </property>
</Properties>
</file>