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line="360" w:lineRule="auto"/>
              <w:jc w:val="center"/>
              <w:rPr>
                <w:rFonts w:hint="eastAsia" w:ascii="宋体" w:hAnsi="宋体" w:eastAsia="宋体" w:cs="宋体"/>
                <w:sz w:val="24"/>
                <w:szCs w:val="24"/>
              </w:rPr>
            </w:pPr>
            <w:r>
              <w:rPr>
                <w:rFonts w:hint="eastAsia" w:ascii="宋体" w:hAnsi="宋体" w:eastAsia="宋体" w:cs="宋体"/>
                <w:sz w:val="24"/>
                <w:szCs w:val="24"/>
              </w:rPr>
              <w:t>过程与活动、</w:t>
            </w:r>
          </w:p>
          <w:p>
            <w:pPr>
              <w:spacing w:line="360" w:lineRule="auto"/>
              <w:jc w:val="center"/>
              <w:rPr>
                <w:rFonts w:hint="eastAsia" w:ascii="宋体" w:hAnsi="宋体" w:eastAsia="宋体" w:cs="宋体"/>
              </w:rPr>
            </w:pPr>
            <w:r>
              <w:rPr>
                <w:rFonts w:hint="eastAsia" w:ascii="宋体" w:hAnsi="宋体" w:eastAsia="宋体" w:cs="宋体"/>
                <w:sz w:val="24"/>
                <w:szCs w:val="24"/>
              </w:rPr>
              <w:t>抽样计划</w:t>
            </w:r>
          </w:p>
        </w:tc>
        <w:tc>
          <w:tcPr>
            <w:tcW w:w="960" w:type="dxa"/>
            <w:vMerge w:val="restart"/>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涉及</w:t>
            </w:r>
          </w:p>
          <w:p>
            <w:pPr>
              <w:spacing w:line="360" w:lineRule="auto"/>
              <w:rPr>
                <w:rFonts w:hint="eastAsia" w:ascii="宋体" w:hAnsi="宋体" w:eastAsia="宋体" w:cs="宋体"/>
              </w:rPr>
            </w:pPr>
            <w:r>
              <w:rPr>
                <w:rFonts w:hint="eastAsia" w:ascii="宋体" w:hAnsi="宋体" w:eastAsia="宋体" w:cs="宋体"/>
                <w:sz w:val="24"/>
                <w:szCs w:val="24"/>
              </w:rPr>
              <w:t>条款</w:t>
            </w:r>
          </w:p>
        </w:tc>
        <w:tc>
          <w:tcPr>
            <w:tcW w:w="10004" w:type="dxa"/>
            <w:vAlign w:val="center"/>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4"/>
                <w:szCs w:val="24"/>
              </w:rPr>
              <w:t>受审核部门：</w:t>
            </w:r>
            <w:r>
              <w:rPr>
                <w:rFonts w:hint="eastAsia" w:ascii="宋体" w:hAnsi="宋体" w:eastAsia="宋体" w:cs="宋体"/>
                <w:sz w:val="24"/>
                <w:szCs w:val="24"/>
                <w:lang w:val="en-US" w:eastAsia="zh-CN"/>
              </w:rPr>
              <w:t>市场开发部</w:t>
            </w:r>
            <w:r>
              <w:rPr>
                <w:rFonts w:hint="eastAsia" w:ascii="宋体" w:hAnsi="宋体" w:eastAsia="宋体" w:cs="宋体"/>
                <w:sz w:val="24"/>
                <w:szCs w:val="24"/>
              </w:rPr>
              <w:t xml:space="preserve">       主管领导：</w:t>
            </w:r>
            <w:r>
              <w:rPr>
                <w:rFonts w:hint="eastAsia" w:ascii="宋体" w:hAnsi="宋体" w:eastAsia="宋体" w:cs="宋体"/>
                <w:sz w:val="24"/>
                <w:szCs w:val="24"/>
                <w:lang w:val="en-US" w:eastAsia="zh-CN"/>
              </w:rPr>
              <w:t>李耀宗</w:t>
            </w:r>
            <w:r>
              <w:rPr>
                <w:rFonts w:hint="eastAsia" w:ascii="宋体" w:hAnsi="宋体" w:eastAsia="宋体" w:cs="宋体"/>
                <w:sz w:val="24"/>
                <w:szCs w:val="24"/>
              </w:rPr>
              <w:t xml:space="preserve">         陪同人员：</w:t>
            </w:r>
            <w:r>
              <w:rPr>
                <w:rFonts w:hint="eastAsia" w:ascii="宋体" w:hAnsi="宋体" w:eastAsia="宋体" w:cs="宋体"/>
                <w:sz w:val="24"/>
                <w:szCs w:val="24"/>
                <w:lang w:val="en-US" w:eastAsia="zh-CN"/>
              </w:rPr>
              <w:t>陈飞燕</w:t>
            </w:r>
          </w:p>
        </w:tc>
        <w:tc>
          <w:tcPr>
            <w:tcW w:w="1585" w:type="dxa"/>
            <w:vMerge w:val="restart"/>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rPr>
                <w:rFonts w:hint="eastAsia" w:ascii="宋体" w:hAnsi="宋体" w:eastAsia="宋体" w:cs="宋体"/>
              </w:rPr>
            </w:pPr>
          </w:p>
        </w:tc>
        <w:tc>
          <w:tcPr>
            <w:tcW w:w="960" w:type="dxa"/>
            <w:vMerge w:val="continue"/>
            <w:vAlign w:val="center"/>
          </w:tcPr>
          <w:p>
            <w:pPr>
              <w:spacing w:line="360" w:lineRule="auto"/>
              <w:rPr>
                <w:rFonts w:hint="eastAsia" w:ascii="宋体" w:hAnsi="宋体" w:eastAsia="宋体" w:cs="宋体"/>
              </w:rPr>
            </w:pPr>
          </w:p>
        </w:tc>
        <w:tc>
          <w:tcPr>
            <w:tcW w:w="10004" w:type="dxa"/>
            <w:vAlign w:val="center"/>
          </w:tcPr>
          <w:p>
            <w:pPr>
              <w:spacing w:before="120" w:line="360" w:lineRule="auto"/>
              <w:rPr>
                <w:rFonts w:hint="eastAsia" w:ascii="宋体" w:hAnsi="宋体" w:eastAsia="宋体" w:cs="宋体"/>
                <w:sz w:val="21"/>
                <w:szCs w:val="21"/>
                <w:lang w:val="en-US" w:eastAsia="zh-CN"/>
              </w:rPr>
            </w:pPr>
            <w:r>
              <w:rPr>
                <w:rFonts w:hint="eastAsia" w:ascii="宋体" w:hAnsi="宋体" w:eastAsia="宋体" w:cs="宋体"/>
                <w:sz w:val="24"/>
                <w:szCs w:val="24"/>
              </w:rPr>
              <w:t>审核员：</w:t>
            </w:r>
            <w:r>
              <w:rPr>
                <w:rFonts w:hint="eastAsia" w:ascii="宋体" w:hAnsi="宋体" w:eastAsia="宋体" w:cs="宋体"/>
                <w:sz w:val="24"/>
                <w:szCs w:val="24"/>
                <w:lang w:val="en-US" w:eastAsia="zh-CN"/>
              </w:rPr>
              <w:t>李俐</w:t>
            </w:r>
            <w:r>
              <w:rPr>
                <w:rFonts w:hint="eastAsia" w:ascii="宋体" w:hAnsi="宋体" w:eastAsia="宋体" w:cs="宋体"/>
                <w:sz w:val="24"/>
                <w:szCs w:val="24"/>
              </w:rPr>
              <w:t xml:space="preserve">       审核时间：20</w:t>
            </w:r>
            <w:r>
              <w:rPr>
                <w:rFonts w:hint="eastAsia" w:ascii="宋体" w:hAnsi="宋体" w:eastAsia="宋体" w:cs="宋体"/>
                <w:sz w:val="24"/>
                <w:szCs w:val="24"/>
                <w:lang w:val="en-US" w:eastAsia="zh-CN"/>
              </w:rPr>
              <w:t>20</w:t>
            </w: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w:t>
            </w:r>
            <w:r>
              <w:rPr>
                <w:rFonts w:hint="eastAsia" w:ascii="宋体" w:hAnsi="宋体" w:eastAsia="宋体" w:cs="宋体"/>
                <w:sz w:val="24"/>
                <w:szCs w:val="24"/>
                <w:lang w:val="en-US" w:eastAsia="zh-CN"/>
              </w:rPr>
              <w:t>4</w:t>
            </w:r>
          </w:p>
        </w:tc>
        <w:tc>
          <w:tcPr>
            <w:tcW w:w="1585" w:type="dxa"/>
            <w:vMerge w:val="continue"/>
          </w:tcPr>
          <w:p>
            <w:pPr>
              <w:spacing w:line="360" w:lineRule="auto"/>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rPr>
                <w:rFonts w:hint="eastAsia" w:ascii="宋体" w:hAnsi="宋体" w:eastAsia="宋体" w:cs="宋体"/>
              </w:rPr>
            </w:pPr>
          </w:p>
        </w:tc>
        <w:tc>
          <w:tcPr>
            <w:tcW w:w="960" w:type="dxa"/>
            <w:vMerge w:val="continue"/>
            <w:vAlign w:val="center"/>
          </w:tcPr>
          <w:p>
            <w:pPr>
              <w:spacing w:line="360" w:lineRule="auto"/>
              <w:rPr>
                <w:rFonts w:hint="eastAsia" w:ascii="宋体" w:hAnsi="宋体" w:eastAsia="宋体" w:cs="宋体"/>
              </w:rPr>
            </w:pPr>
          </w:p>
        </w:tc>
        <w:tc>
          <w:tcPr>
            <w:tcW w:w="10004" w:type="dxa"/>
            <w:vAlign w:val="center"/>
          </w:tcPr>
          <w:p>
            <w:pPr>
              <w:snapToGrid w:val="0"/>
              <w:spacing w:line="280" w:lineRule="exact"/>
              <w:jc w:val="left"/>
              <w:rPr>
                <w:rFonts w:hint="eastAsia" w:ascii="宋体" w:hAnsi="宋体" w:eastAsia="宋体" w:cs="宋体"/>
                <w:color w:val="auto"/>
                <w:sz w:val="21"/>
                <w:szCs w:val="21"/>
                <w:lang w:val="en-US" w:eastAsia="zh-CN"/>
              </w:rPr>
            </w:pPr>
            <w:r>
              <w:rPr>
                <w:rFonts w:hint="eastAsia" w:ascii="宋体" w:hAnsi="宋体" w:eastAsia="宋体" w:cs="宋体"/>
                <w:sz w:val="21"/>
                <w:szCs w:val="21"/>
              </w:rPr>
              <w:t>审核条款：</w:t>
            </w:r>
            <w:r>
              <w:rPr>
                <w:rFonts w:hint="eastAsia" w:ascii="宋体" w:hAnsi="宋体" w:eastAsia="宋体" w:cs="宋体"/>
                <w:sz w:val="21"/>
                <w:szCs w:val="21"/>
                <w:lang w:val="en-US" w:eastAsia="zh-CN"/>
              </w:rPr>
              <w:t xml:space="preserve"> </w:t>
            </w:r>
            <w:r>
              <w:rPr>
                <w:rFonts w:hint="eastAsia" w:ascii="宋体" w:hAnsi="宋体" w:eastAsia="宋体" w:cs="宋体"/>
                <w:color w:val="auto"/>
                <w:sz w:val="21"/>
                <w:szCs w:val="21"/>
                <w:lang w:val="en-US" w:eastAsia="zh-CN"/>
              </w:rPr>
              <w:t>QEO：</w:t>
            </w:r>
            <w:r>
              <w:rPr>
                <w:rFonts w:hint="eastAsia" w:ascii="宋体" w:hAnsi="宋体" w:eastAsia="宋体" w:cs="宋体"/>
                <w:color w:val="auto"/>
                <w:sz w:val="21"/>
                <w:szCs w:val="21"/>
              </w:rPr>
              <w:t>5.3</w:t>
            </w:r>
            <w:r>
              <w:rPr>
                <w:rFonts w:hint="eastAsia" w:ascii="宋体" w:hAnsi="宋体" w:eastAsia="宋体" w:cs="宋体"/>
                <w:color w:val="auto"/>
                <w:sz w:val="21"/>
                <w:szCs w:val="21"/>
                <w:lang w:val="en-US" w:eastAsia="zh-CN"/>
              </w:rPr>
              <w:t xml:space="preserve"> 、6.2  </w:t>
            </w:r>
          </w:p>
          <w:p>
            <w:pPr>
              <w:snapToGrid w:val="0"/>
              <w:spacing w:line="280" w:lineRule="exact"/>
              <w:ind w:firstLine="1470" w:firstLineChars="7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Q：</w:t>
            </w:r>
            <w:r>
              <w:rPr>
                <w:rFonts w:hint="eastAsia" w:ascii="宋体" w:hAnsi="宋体" w:eastAsia="宋体" w:cs="宋体"/>
                <w:color w:val="auto"/>
                <w:sz w:val="21"/>
                <w:szCs w:val="21"/>
              </w:rPr>
              <w:t>8.1</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8.2、8.4、</w:t>
            </w:r>
          </w:p>
          <w:p>
            <w:pPr>
              <w:spacing w:line="360" w:lineRule="auto"/>
              <w:rPr>
                <w:rFonts w:hint="eastAsia" w:ascii="宋体" w:hAnsi="宋体" w:eastAsia="宋体" w:cs="宋体"/>
                <w:sz w:val="21"/>
                <w:szCs w:val="21"/>
              </w:rPr>
            </w:pPr>
            <w:r>
              <w:rPr>
                <w:rFonts w:hint="eastAsia" w:ascii="宋体" w:hAnsi="宋体" w:eastAsia="宋体" w:cs="宋体"/>
                <w:color w:val="auto"/>
                <w:sz w:val="21"/>
                <w:szCs w:val="21"/>
                <w:lang w:val="en-US" w:eastAsia="zh-CN"/>
              </w:rPr>
              <w:t xml:space="preserve">             EO：</w:t>
            </w:r>
            <w:r>
              <w:rPr>
                <w:rFonts w:hint="eastAsia" w:ascii="宋体" w:hAnsi="宋体" w:eastAsia="宋体" w:cs="宋体"/>
                <w:color w:val="auto"/>
                <w:sz w:val="21"/>
                <w:szCs w:val="21"/>
              </w:rPr>
              <w:t>6.1.2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6.1.4、8.1、8.2</w:t>
            </w:r>
          </w:p>
        </w:tc>
        <w:tc>
          <w:tcPr>
            <w:tcW w:w="1585" w:type="dxa"/>
            <w:vMerge w:val="continue"/>
          </w:tcPr>
          <w:p>
            <w:pPr>
              <w:spacing w:line="360" w:lineRule="auto"/>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hint="eastAsia" w:ascii="宋体" w:hAnsi="宋体" w:eastAsia="宋体" w:cs="宋体"/>
              </w:rPr>
            </w:pPr>
            <w:r>
              <w:rPr>
                <w:rFonts w:hint="eastAsia" w:ascii="宋体" w:hAnsi="宋体" w:eastAsia="宋体" w:cs="宋体"/>
                <w:szCs w:val="21"/>
              </w:rPr>
              <w:t>组织的岗位、职责和权限</w:t>
            </w:r>
          </w:p>
        </w:tc>
        <w:tc>
          <w:tcPr>
            <w:tcW w:w="960" w:type="dxa"/>
          </w:tcPr>
          <w:p>
            <w:pPr>
              <w:spacing w:line="360" w:lineRule="auto"/>
              <w:rPr>
                <w:rFonts w:hint="eastAsia" w:ascii="宋体" w:hAnsi="宋体" w:eastAsia="宋体" w:cs="宋体"/>
              </w:rPr>
            </w:pPr>
            <w:r>
              <w:rPr>
                <w:rFonts w:hint="eastAsia" w:ascii="宋体" w:hAnsi="宋体" w:eastAsia="宋体" w:cs="宋体"/>
                <w:szCs w:val="21"/>
              </w:rPr>
              <w:t>QEO:5.3</w:t>
            </w:r>
            <w:r>
              <w:rPr>
                <w:rFonts w:hint="eastAsia" w:ascii="宋体" w:hAnsi="宋体" w:eastAsia="宋体" w:cs="宋体"/>
              </w:rPr>
              <w:t xml:space="preserve"> </w:t>
            </w:r>
          </w:p>
        </w:tc>
        <w:tc>
          <w:tcPr>
            <w:tcW w:w="10004" w:type="dxa"/>
            <w:vAlign w:val="top"/>
          </w:tcPr>
          <w:p>
            <w:pPr>
              <w:snapToGrid w:val="0"/>
              <w:spacing w:line="360" w:lineRule="auto"/>
              <w:rPr>
                <w:rFonts w:hint="eastAsia" w:ascii="宋体" w:hAnsi="宋体" w:eastAsia="宋体" w:cs="宋体"/>
                <w:szCs w:val="21"/>
              </w:rPr>
            </w:pPr>
            <w:r>
              <w:rPr>
                <w:rFonts w:hint="eastAsia" w:ascii="宋体" w:hAnsi="宋体" w:eastAsia="宋体" w:cs="宋体"/>
                <w:szCs w:val="21"/>
              </w:rPr>
              <w:t>部门负责人：</w:t>
            </w:r>
            <w:r>
              <w:rPr>
                <w:rFonts w:hint="eastAsia" w:ascii="宋体" w:hAnsi="宋体" w:eastAsia="宋体" w:cs="宋体"/>
                <w:szCs w:val="21"/>
                <w:lang w:val="en-US" w:eastAsia="zh-CN"/>
              </w:rPr>
              <w:t>李耀宗</w:t>
            </w:r>
            <w:r>
              <w:rPr>
                <w:rFonts w:hint="eastAsia" w:ascii="宋体" w:hAnsi="宋体" w:eastAsia="宋体" w:cs="宋体"/>
                <w:szCs w:val="21"/>
              </w:rPr>
              <w:t xml:space="preserve">     </w:t>
            </w:r>
          </w:p>
          <w:p>
            <w:pPr>
              <w:snapToGrid w:val="0"/>
              <w:spacing w:line="360" w:lineRule="auto"/>
              <w:rPr>
                <w:rFonts w:hint="eastAsia" w:ascii="宋体" w:hAnsi="宋体" w:eastAsia="宋体" w:cs="宋体"/>
                <w:color w:val="000000"/>
                <w:sz w:val="21"/>
                <w:szCs w:val="21"/>
              </w:rPr>
            </w:pPr>
            <w:r>
              <w:rPr>
                <w:rFonts w:hint="eastAsia" w:ascii="宋体" w:hAnsi="宋体" w:eastAsia="宋体" w:cs="宋体"/>
                <w:szCs w:val="21"/>
              </w:rPr>
              <w:t>询问主要职责：</w:t>
            </w:r>
          </w:p>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1)收集、汇总、分析各行业、客户、竞争对手及目标市场相关资料信息，及时、准确地了解外部环境的变化，支撑营销战略实施及相关环境、职业健康安全管理活动的实施与执行。</w:t>
            </w:r>
          </w:p>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2)负责组织顾客要求的评审，与用户签订产品销售合同，组织计价核价，回收款项。</w:t>
            </w:r>
          </w:p>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3)组织开展产品报价与分析工作，为提高产品的市场竞争力提供基础信息。</w:t>
            </w:r>
          </w:p>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4)收集保存客户相关资料，建立并完善客户档案。做好对顾客财产的管理工作。</w:t>
            </w:r>
          </w:p>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5)组织进行供方及外包方的选择、评价，确保选择合适的供应商及外包方；定期对供方及外包方的供货质量进行考核、评价，以满足采购控制要求。</w:t>
            </w:r>
          </w:p>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6)负责汇总编制采购信息，明确采购内容；负责与供方及外包方签订采购/委托合同。</w:t>
            </w:r>
          </w:p>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7)负责公司销售产品的交付，并定期进行顾客回访，进行售后服务；</w:t>
            </w:r>
          </w:p>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8)负责调查顾客满意度信息，并组织进行统计分析。了解客户需求并及时反馈给相关部门。</w:t>
            </w:r>
          </w:p>
          <w:p>
            <w:pPr>
              <w:spacing w:line="360" w:lineRule="auto"/>
              <w:rPr>
                <w:rFonts w:hint="eastAsia" w:ascii="宋体" w:hAnsi="宋体" w:eastAsia="宋体" w:cs="宋体"/>
                <w:b/>
                <w:color w:val="000000"/>
                <w:szCs w:val="21"/>
              </w:rPr>
            </w:pPr>
            <w:r>
              <w:rPr>
                <w:rFonts w:hint="eastAsia" w:ascii="宋体" w:hAnsi="宋体" w:eastAsia="宋体" w:cs="宋体"/>
                <w:szCs w:val="21"/>
              </w:rPr>
              <w:t>部门职责清晰、明确。市场开发部负责人能基本阐述本部门的主要职责。</w:t>
            </w:r>
          </w:p>
        </w:tc>
        <w:tc>
          <w:tcPr>
            <w:tcW w:w="1585" w:type="dxa"/>
          </w:tcPr>
          <w:p>
            <w:pPr>
              <w:spacing w:line="360" w:lineRule="auto"/>
              <w:rPr>
                <w:rFonts w:hint="eastAsia" w:ascii="宋体" w:hAnsi="宋体" w:eastAsia="宋体" w:cs="宋体"/>
              </w:rPr>
            </w:pPr>
            <w:r>
              <w:rPr>
                <w:rFonts w:hint="eastAsia" w:ascii="宋体" w:hAnsi="宋体" w:eastAsia="宋体" w:cs="宋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2160" w:type="dxa"/>
          </w:tcPr>
          <w:p>
            <w:pPr>
              <w:spacing w:line="360" w:lineRule="auto"/>
              <w:rPr>
                <w:rFonts w:hint="eastAsia" w:ascii="宋体" w:hAnsi="宋体" w:eastAsia="宋体" w:cs="宋体"/>
              </w:rPr>
            </w:pPr>
            <w:r>
              <w:rPr>
                <w:rFonts w:hint="eastAsia" w:ascii="宋体" w:hAnsi="宋体" w:eastAsia="宋体" w:cs="宋体"/>
                <w:szCs w:val="21"/>
              </w:rPr>
              <w:t>质量、环境与职业健康安全目标</w:t>
            </w:r>
          </w:p>
        </w:tc>
        <w:tc>
          <w:tcPr>
            <w:tcW w:w="960" w:type="dxa"/>
          </w:tcPr>
          <w:p>
            <w:pPr>
              <w:spacing w:line="360" w:lineRule="auto"/>
              <w:rPr>
                <w:rFonts w:hint="eastAsia" w:ascii="宋体" w:hAnsi="宋体" w:eastAsia="宋体" w:cs="宋体"/>
              </w:rPr>
            </w:pPr>
            <w:r>
              <w:rPr>
                <w:rFonts w:hint="eastAsia" w:ascii="宋体" w:hAnsi="宋体" w:eastAsia="宋体" w:cs="宋体"/>
                <w:szCs w:val="21"/>
              </w:rPr>
              <w:t>QEO:6.2</w:t>
            </w:r>
          </w:p>
        </w:tc>
        <w:tc>
          <w:tcPr>
            <w:tcW w:w="10004" w:type="dxa"/>
            <w:vAlign w:val="top"/>
          </w:tcPr>
          <w:p>
            <w:pPr>
              <w:autoSpaceDE w:val="0"/>
              <w:autoSpaceDN w:val="0"/>
              <w:spacing w:line="360" w:lineRule="auto"/>
              <w:jc w:val="left"/>
              <w:rPr>
                <w:rFonts w:hint="eastAsia" w:ascii="宋体" w:hAnsi="宋体" w:eastAsia="宋体" w:cs="宋体"/>
              </w:rPr>
            </w:pPr>
            <w:r>
              <w:rPr>
                <w:rFonts w:hint="eastAsia" w:ascii="宋体" w:hAnsi="宋体" w:eastAsia="宋体" w:cs="宋体"/>
              </w:rPr>
              <w:t>市场开发部的目标是：</w:t>
            </w:r>
          </w:p>
          <w:p>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1）检测报告及时交付</w:t>
            </w:r>
            <w:r>
              <w:rPr>
                <w:rFonts w:hint="eastAsia" w:ascii="宋体" w:hAnsi="宋体" w:eastAsia="宋体" w:cs="宋体"/>
                <w:color w:val="auto"/>
                <w:sz w:val="21"/>
                <w:szCs w:val="21"/>
              </w:rPr>
              <w:t>率100%；</w:t>
            </w:r>
          </w:p>
          <w:p>
            <w:pPr>
              <w:spacing w:line="360" w:lineRule="auto"/>
              <w:jc w:val="left"/>
              <w:rPr>
                <w:rFonts w:hint="eastAsia" w:ascii="宋体" w:hAnsi="宋体" w:eastAsia="宋体" w:cs="宋体"/>
                <w:color w:val="auto"/>
                <w:spacing w:val="10"/>
                <w:sz w:val="21"/>
                <w:szCs w:val="21"/>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产品检测报告一次交付合格率100%</w:t>
            </w:r>
            <w:r>
              <w:rPr>
                <w:rFonts w:hint="eastAsia" w:ascii="宋体" w:hAnsi="宋体" w:eastAsia="宋体" w:cs="宋体"/>
                <w:color w:val="auto"/>
                <w:spacing w:val="10"/>
                <w:sz w:val="21"/>
                <w:szCs w:val="21"/>
              </w:rPr>
              <w:t>；</w:t>
            </w:r>
          </w:p>
          <w:p>
            <w:pPr>
              <w:spacing w:line="360" w:lineRule="auto"/>
              <w:jc w:val="left"/>
              <w:rPr>
                <w:rFonts w:hint="eastAsia" w:ascii="宋体" w:hAnsi="宋体" w:eastAsia="宋体" w:cs="宋体"/>
                <w:color w:val="auto"/>
                <w:spacing w:val="10"/>
                <w:sz w:val="21"/>
                <w:szCs w:val="21"/>
              </w:rPr>
            </w:pPr>
            <w:r>
              <w:rPr>
                <w:rFonts w:hint="eastAsia" w:ascii="宋体" w:hAnsi="宋体" w:eastAsia="宋体" w:cs="宋体"/>
                <w:color w:val="auto"/>
                <w:spacing w:val="10"/>
                <w:sz w:val="21"/>
                <w:szCs w:val="21"/>
                <w:lang w:val="en-US" w:eastAsia="zh-CN"/>
              </w:rPr>
              <w:t>3）</w:t>
            </w:r>
            <w:r>
              <w:rPr>
                <w:rFonts w:hint="eastAsia" w:ascii="宋体" w:hAnsi="宋体" w:eastAsia="宋体" w:cs="宋体"/>
                <w:color w:val="auto"/>
                <w:spacing w:val="10"/>
                <w:sz w:val="21"/>
                <w:szCs w:val="21"/>
              </w:rPr>
              <w:t>顾客满意度不低于90%；</w:t>
            </w:r>
          </w:p>
          <w:p>
            <w:pPr>
              <w:spacing w:line="360" w:lineRule="auto"/>
              <w:jc w:val="left"/>
              <w:rPr>
                <w:rFonts w:hint="eastAsia" w:ascii="宋体" w:hAnsi="宋体" w:eastAsia="宋体" w:cs="宋体"/>
                <w:color w:val="auto"/>
                <w:spacing w:val="10"/>
                <w:sz w:val="21"/>
                <w:szCs w:val="21"/>
                <w:lang w:val="en-US" w:eastAsia="zh-CN"/>
              </w:rPr>
            </w:pPr>
            <w:r>
              <w:rPr>
                <w:rFonts w:hint="eastAsia" w:ascii="宋体" w:hAnsi="宋体" w:eastAsia="宋体" w:cs="宋体"/>
                <w:color w:val="auto"/>
                <w:spacing w:val="10"/>
                <w:sz w:val="21"/>
                <w:szCs w:val="21"/>
                <w:lang w:val="en-US" w:eastAsia="zh-CN"/>
              </w:rPr>
              <w:t>4）</w:t>
            </w:r>
            <w:r>
              <w:rPr>
                <w:rFonts w:hint="eastAsia" w:ascii="宋体" w:hAnsi="宋体" w:eastAsia="宋体" w:cs="宋体"/>
                <w:color w:val="auto"/>
                <w:spacing w:val="10"/>
                <w:sz w:val="21"/>
                <w:szCs w:val="21"/>
              </w:rPr>
              <w:t>顾客投诉及时处理率100%</w:t>
            </w:r>
            <w:r>
              <w:rPr>
                <w:rFonts w:hint="eastAsia" w:ascii="宋体" w:hAnsi="宋体" w:eastAsia="宋体" w:cs="宋体"/>
                <w:color w:val="auto"/>
                <w:spacing w:val="10"/>
                <w:sz w:val="21"/>
                <w:szCs w:val="21"/>
                <w:lang w:eastAsia="zh-CN"/>
              </w:rPr>
              <w:t>；</w:t>
            </w:r>
          </w:p>
          <w:p>
            <w:pPr>
              <w:spacing w:line="360" w:lineRule="auto"/>
              <w:jc w:val="left"/>
              <w:rPr>
                <w:rFonts w:hint="eastAsia" w:ascii="宋体" w:hAnsi="宋体" w:eastAsia="宋体" w:cs="宋体"/>
                <w:color w:val="auto"/>
                <w:spacing w:val="10"/>
                <w:sz w:val="21"/>
                <w:szCs w:val="21"/>
                <w:lang w:val="en-US" w:eastAsia="zh-CN"/>
              </w:rPr>
            </w:pPr>
            <w:r>
              <w:rPr>
                <w:rFonts w:hint="eastAsia" w:ascii="宋体" w:hAnsi="宋体" w:eastAsia="宋体" w:cs="宋体"/>
                <w:color w:val="auto"/>
                <w:spacing w:val="10"/>
                <w:sz w:val="21"/>
                <w:szCs w:val="21"/>
                <w:lang w:val="en-US" w:eastAsia="zh-CN"/>
              </w:rPr>
              <w:t>5）</w:t>
            </w:r>
            <w:r>
              <w:rPr>
                <w:rFonts w:hint="eastAsia" w:ascii="宋体" w:hAnsi="宋体" w:eastAsia="宋体" w:cs="宋体"/>
                <w:color w:val="auto"/>
                <w:kern w:val="0"/>
                <w:sz w:val="21"/>
                <w:szCs w:val="21"/>
              </w:rPr>
              <w:t>噪声、污水排放符合所在地标准</w:t>
            </w:r>
            <w:r>
              <w:rPr>
                <w:rFonts w:hint="eastAsia" w:ascii="宋体" w:hAnsi="宋体" w:eastAsia="宋体" w:cs="宋体"/>
                <w:color w:val="auto"/>
                <w:kern w:val="0"/>
                <w:sz w:val="21"/>
                <w:szCs w:val="21"/>
                <w:lang w:eastAsia="zh-CN"/>
              </w:rPr>
              <w:t>；</w:t>
            </w:r>
          </w:p>
          <w:p>
            <w:pPr>
              <w:spacing w:line="360" w:lineRule="auto"/>
              <w:jc w:val="left"/>
              <w:rPr>
                <w:rFonts w:hint="eastAsia" w:ascii="宋体" w:hAnsi="宋体" w:eastAsia="宋体" w:cs="宋体"/>
                <w:color w:val="auto"/>
                <w:spacing w:val="10"/>
                <w:sz w:val="21"/>
                <w:szCs w:val="21"/>
                <w:lang w:val="en-US" w:eastAsia="zh-CN"/>
              </w:rPr>
            </w:pPr>
            <w:r>
              <w:rPr>
                <w:rFonts w:hint="eastAsia" w:ascii="宋体" w:hAnsi="宋体" w:eastAsia="宋体" w:cs="宋体"/>
                <w:color w:val="auto"/>
                <w:spacing w:val="10"/>
                <w:sz w:val="21"/>
                <w:szCs w:val="21"/>
                <w:lang w:val="en-US" w:eastAsia="zh-CN"/>
              </w:rPr>
              <w:t>6）</w:t>
            </w:r>
            <w:r>
              <w:rPr>
                <w:rFonts w:hint="eastAsia" w:ascii="宋体" w:hAnsi="宋体" w:eastAsia="宋体" w:cs="宋体"/>
                <w:color w:val="auto"/>
                <w:kern w:val="0"/>
                <w:sz w:val="21"/>
                <w:szCs w:val="21"/>
              </w:rPr>
              <w:t>避免危险有害废弃物违规排放，按规定</w:t>
            </w:r>
            <w:r>
              <w:rPr>
                <w:rFonts w:hint="eastAsia" w:ascii="宋体" w:hAnsi="宋体" w:eastAsia="宋体" w:cs="宋体"/>
                <w:bCs/>
                <w:color w:val="auto"/>
                <w:sz w:val="21"/>
                <w:szCs w:val="21"/>
              </w:rPr>
              <w:t>对其分类处理率</w:t>
            </w:r>
            <w:r>
              <w:rPr>
                <w:rFonts w:hint="eastAsia" w:ascii="宋体" w:hAnsi="宋体" w:eastAsia="宋体" w:cs="宋体"/>
                <w:color w:val="auto"/>
                <w:kern w:val="0"/>
                <w:sz w:val="21"/>
                <w:szCs w:val="21"/>
              </w:rPr>
              <w:t>100%；</w:t>
            </w:r>
          </w:p>
          <w:p>
            <w:pPr>
              <w:spacing w:line="360" w:lineRule="auto"/>
              <w:jc w:val="left"/>
              <w:rPr>
                <w:rFonts w:hint="eastAsia" w:ascii="宋体" w:hAnsi="宋体" w:eastAsia="宋体" w:cs="宋体"/>
                <w:b/>
                <w:color w:val="auto"/>
                <w:sz w:val="21"/>
                <w:szCs w:val="21"/>
                <w:lang w:val="en-US" w:eastAsia="zh-CN"/>
              </w:rPr>
            </w:pPr>
            <w:r>
              <w:rPr>
                <w:rFonts w:hint="eastAsia" w:ascii="宋体" w:hAnsi="宋体" w:eastAsia="宋体" w:cs="宋体"/>
                <w:color w:val="auto"/>
                <w:kern w:val="0"/>
                <w:sz w:val="21"/>
                <w:szCs w:val="21"/>
                <w:lang w:val="en-US" w:eastAsia="zh-CN"/>
              </w:rPr>
              <w:t>7）</w:t>
            </w:r>
            <w:r>
              <w:rPr>
                <w:rFonts w:hint="eastAsia" w:ascii="宋体" w:hAnsi="宋体" w:eastAsia="宋体" w:cs="宋体"/>
                <w:color w:val="auto"/>
                <w:kern w:val="0"/>
                <w:sz w:val="21"/>
                <w:szCs w:val="21"/>
              </w:rPr>
              <w:t>适用环境及职业健康安全法规和其他要求符合率100%；</w:t>
            </w:r>
          </w:p>
          <w:p>
            <w:pPr>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lang w:eastAsia="zh-CN"/>
              </w:rPr>
              <w:t>）</w:t>
            </w:r>
            <w:r>
              <w:rPr>
                <w:rFonts w:hint="eastAsia" w:ascii="宋体" w:hAnsi="宋体" w:eastAsia="宋体" w:cs="宋体"/>
                <w:color w:val="auto"/>
                <w:kern w:val="0"/>
                <w:sz w:val="21"/>
                <w:szCs w:val="21"/>
              </w:rPr>
              <w:t>重大环境污染事故为零；</w:t>
            </w:r>
          </w:p>
          <w:p>
            <w:pPr>
              <w:spacing w:line="360" w:lineRule="auto"/>
              <w:jc w:val="left"/>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rPr>
              <w:t>9）</w:t>
            </w:r>
            <w:r>
              <w:rPr>
                <w:rFonts w:hint="eastAsia" w:ascii="宋体" w:hAnsi="宋体" w:eastAsia="宋体" w:cs="宋体"/>
                <w:color w:val="auto"/>
                <w:kern w:val="0"/>
                <w:sz w:val="21"/>
                <w:szCs w:val="21"/>
              </w:rPr>
              <w:t>确保相关方在环保及职业健康安全方面零投诉；</w:t>
            </w:r>
          </w:p>
          <w:p>
            <w:pPr>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lang w:eastAsia="zh-CN"/>
              </w:rPr>
              <w:t>）</w:t>
            </w:r>
            <w:r>
              <w:rPr>
                <w:rFonts w:hint="eastAsia" w:ascii="宋体" w:hAnsi="宋体" w:eastAsia="宋体" w:cs="宋体"/>
                <w:color w:val="auto"/>
                <w:kern w:val="0"/>
                <w:sz w:val="21"/>
                <w:szCs w:val="21"/>
              </w:rPr>
              <w:t>年度火灾和重大安全事故（死亡、重伤）发生率为零；</w:t>
            </w:r>
          </w:p>
          <w:p>
            <w:pPr>
              <w:spacing w:line="360" w:lineRule="auto"/>
              <w:jc w:val="left"/>
              <w:rPr>
                <w:rFonts w:hint="eastAsia" w:ascii="宋体" w:hAnsi="宋体" w:eastAsia="宋体" w:cs="宋体"/>
                <w:color w:val="000000"/>
                <w:sz w:val="24"/>
                <w:szCs w:val="24"/>
              </w:rPr>
            </w:pPr>
            <w:r>
              <w:rPr>
                <w:rFonts w:hint="eastAsia" w:ascii="宋体" w:hAnsi="宋体" w:eastAsia="宋体" w:cs="宋体"/>
                <w:color w:val="auto"/>
                <w:sz w:val="21"/>
                <w:szCs w:val="21"/>
                <w:lang w:val="en-US" w:eastAsia="zh-CN"/>
              </w:rPr>
              <w:t>11</w:t>
            </w:r>
            <w:r>
              <w:rPr>
                <w:rFonts w:hint="eastAsia" w:ascii="宋体" w:hAnsi="宋体" w:eastAsia="宋体" w:cs="宋体"/>
                <w:color w:val="auto"/>
                <w:sz w:val="21"/>
                <w:szCs w:val="21"/>
                <w:lang w:eastAsia="zh-CN"/>
              </w:rPr>
              <w:t>）</w:t>
            </w:r>
            <w:r>
              <w:rPr>
                <w:rFonts w:hint="eastAsia" w:ascii="宋体" w:hAnsi="宋体" w:eastAsia="宋体" w:cs="宋体"/>
                <w:color w:val="auto"/>
                <w:kern w:val="0"/>
                <w:sz w:val="21"/>
                <w:szCs w:val="21"/>
              </w:rPr>
              <w:t>年</w:t>
            </w:r>
            <w:r>
              <w:rPr>
                <w:rFonts w:hint="eastAsia" w:ascii="宋体" w:hAnsi="宋体" w:eastAsia="宋体" w:cs="宋体"/>
                <w:color w:val="auto"/>
                <w:kern w:val="0"/>
                <w:sz w:val="21"/>
                <w:szCs w:val="21"/>
                <w:lang w:val="en-US" w:eastAsia="zh-CN"/>
              </w:rPr>
              <w:t>度</w:t>
            </w:r>
            <w:r>
              <w:rPr>
                <w:rFonts w:hint="eastAsia" w:ascii="宋体" w:hAnsi="宋体" w:eastAsia="宋体" w:cs="宋体"/>
                <w:color w:val="auto"/>
                <w:kern w:val="0"/>
                <w:sz w:val="21"/>
                <w:szCs w:val="21"/>
              </w:rPr>
              <w:t>轻伤事故发生率控制</w:t>
            </w:r>
            <w:r>
              <w:rPr>
                <w:rFonts w:hint="eastAsia" w:ascii="宋体" w:hAnsi="宋体" w:eastAsia="宋体" w:cs="宋体"/>
                <w:color w:val="auto"/>
                <w:kern w:val="0"/>
                <w:sz w:val="21"/>
                <w:szCs w:val="21"/>
                <w:lang w:val="en-US" w:eastAsia="zh-CN"/>
              </w:rPr>
              <w:t>低于1</w:t>
            </w:r>
            <w:r>
              <w:rPr>
                <w:rFonts w:hint="eastAsia" w:ascii="宋体" w:hAnsi="宋体" w:eastAsia="宋体" w:cs="宋体"/>
                <w:color w:val="auto"/>
                <w:kern w:val="0"/>
                <w:sz w:val="21"/>
                <w:szCs w:val="21"/>
              </w:rPr>
              <w:t>起</w:t>
            </w:r>
            <w:r>
              <w:rPr>
                <w:rFonts w:hint="eastAsia" w:ascii="宋体" w:hAnsi="宋体" w:eastAsia="宋体" w:cs="宋体"/>
                <w:bCs/>
                <w:color w:val="auto"/>
                <w:sz w:val="21"/>
                <w:szCs w:val="21"/>
              </w:rPr>
              <w:t>。</w:t>
            </w:r>
            <w:r>
              <w:rPr>
                <w:rFonts w:hint="eastAsia" w:ascii="宋体" w:hAnsi="宋体" w:eastAsia="宋体" w:cs="宋体"/>
                <w:color w:val="000000"/>
                <w:sz w:val="24"/>
                <w:szCs w:val="24"/>
              </w:rPr>
              <w:t xml:space="preserve">                             </w:t>
            </w:r>
          </w:p>
          <w:p>
            <w:pPr>
              <w:tabs>
                <w:tab w:val="center" w:pos="3169"/>
              </w:tabs>
              <w:spacing w:line="360" w:lineRule="auto"/>
              <w:jc w:val="left"/>
              <w:rPr>
                <w:rFonts w:hint="eastAsia" w:ascii="宋体" w:hAnsi="宋体" w:eastAsia="宋体" w:cs="宋体"/>
                <w:sz w:val="21"/>
                <w:szCs w:val="21"/>
                <w:lang w:eastAsia="zh-CN"/>
              </w:rPr>
            </w:pPr>
            <w:r>
              <w:rPr>
                <w:rFonts w:hint="eastAsia" w:ascii="宋体" w:hAnsi="宋体" w:eastAsia="宋体" w:cs="宋体"/>
                <w:szCs w:val="22"/>
              </w:rPr>
              <w:t>20</w:t>
            </w:r>
            <w:r>
              <w:rPr>
                <w:rFonts w:hint="eastAsia" w:ascii="宋体" w:hAnsi="宋体" w:eastAsia="宋体" w:cs="宋体"/>
                <w:szCs w:val="22"/>
                <w:lang w:val="en-US" w:eastAsia="zh-CN"/>
              </w:rPr>
              <w:t>21</w:t>
            </w:r>
            <w:r>
              <w:rPr>
                <w:rFonts w:hint="eastAsia" w:ascii="宋体" w:hAnsi="宋体" w:eastAsia="宋体" w:cs="宋体"/>
                <w:szCs w:val="22"/>
              </w:rPr>
              <w:t>.</w:t>
            </w:r>
            <w:r>
              <w:rPr>
                <w:rFonts w:hint="eastAsia" w:ascii="宋体" w:hAnsi="宋体" w:eastAsia="宋体" w:cs="宋体"/>
                <w:szCs w:val="22"/>
                <w:lang w:val="en-US" w:eastAsia="zh-CN"/>
              </w:rPr>
              <w:t>1.6</w:t>
            </w:r>
            <w:r>
              <w:rPr>
                <w:rFonts w:hint="eastAsia" w:ascii="宋体" w:hAnsi="宋体" w:eastAsia="宋体" w:cs="宋体"/>
                <w:szCs w:val="22"/>
              </w:rPr>
              <w:t>考核情况：经查已完成。</w:t>
            </w:r>
          </w:p>
        </w:tc>
        <w:tc>
          <w:tcPr>
            <w:tcW w:w="1585" w:type="dxa"/>
          </w:tcPr>
          <w:p>
            <w:pPr>
              <w:spacing w:line="360" w:lineRule="auto"/>
              <w:rPr>
                <w:rFonts w:hint="eastAsia" w:ascii="宋体" w:hAnsi="宋体" w:eastAsia="宋体" w:cs="宋体"/>
              </w:rPr>
            </w:pPr>
            <w:r>
              <w:rPr>
                <w:rFonts w:hint="eastAsia" w:ascii="宋体" w:hAnsi="宋体" w:eastAsia="宋体" w:cs="宋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top"/>
          </w:tcPr>
          <w:p>
            <w:pPr>
              <w:snapToGrid w:val="0"/>
              <w:spacing w:line="36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运行策划和控制</w:t>
            </w:r>
          </w:p>
        </w:tc>
        <w:tc>
          <w:tcPr>
            <w:tcW w:w="960" w:type="dxa"/>
            <w:vAlign w:val="top"/>
          </w:tcPr>
          <w:p>
            <w:pPr>
              <w:snapToGrid w:val="0"/>
              <w:spacing w:line="36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lang w:val="en-US" w:eastAsia="zh-CN"/>
              </w:rPr>
              <w:t>Q</w:t>
            </w:r>
            <w:r>
              <w:rPr>
                <w:rFonts w:hint="eastAsia" w:ascii="宋体" w:hAnsi="宋体" w:eastAsia="宋体" w:cs="宋体"/>
                <w:color w:val="auto"/>
                <w:szCs w:val="21"/>
              </w:rPr>
              <w:t>8.1</w:t>
            </w:r>
          </w:p>
        </w:tc>
        <w:tc>
          <w:tcPr>
            <w:tcW w:w="10004"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1、产品/服务：智能设备、工业设备、机电产品、电子产品、仪器仪表的计量检测、销售；计量仪器仪表的维修及技术服务；产业计量、环保节能技术软件的研发。，制定了质量目标。</w:t>
            </w:r>
          </w:p>
          <w:p>
            <w:pPr>
              <w:spacing w:line="360" w:lineRule="auto"/>
              <w:rPr>
                <w:rFonts w:hint="eastAsia" w:ascii="宋体" w:hAnsi="宋体" w:eastAsia="宋体" w:cs="宋体"/>
                <w:sz w:val="21"/>
                <w:szCs w:val="21"/>
              </w:rPr>
            </w:pPr>
            <w:r>
              <w:rPr>
                <w:rFonts w:hint="eastAsia" w:ascii="宋体" w:hAnsi="宋体" w:eastAsia="宋体" w:cs="宋体"/>
                <w:sz w:val="21"/>
                <w:szCs w:val="21"/>
              </w:rPr>
              <w:t>2、规定了</w:t>
            </w:r>
            <w:r>
              <w:rPr>
                <w:rFonts w:hint="eastAsia" w:ascii="宋体" w:hAnsi="宋体" w:eastAsia="宋体" w:cs="宋体"/>
                <w:sz w:val="21"/>
                <w:szCs w:val="21"/>
                <w:lang w:val="en-US" w:eastAsia="zh-CN"/>
              </w:rPr>
              <w:t>检测、维修、</w:t>
            </w:r>
            <w:r>
              <w:rPr>
                <w:rFonts w:hint="eastAsia" w:ascii="宋体" w:hAnsi="宋体" w:eastAsia="宋体" w:cs="宋体"/>
                <w:sz w:val="21"/>
                <w:szCs w:val="21"/>
              </w:rPr>
              <w:t>销售的流程： 接收用户订单→签订合同→按照合同要求开始检测任务/合同相关需求—出具</w:t>
            </w:r>
            <w:r>
              <w:rPr>
                <w:rFonts w:hint="eastAsia" w:ascii="宋体" w:hAnsi="宋体" w:eastAsia="宋体" w:cs="宋体"/>
                <w:sz w:val="21"/>
                <w:szCs w:val="21"/>
                <w:lang w:val="en-US" w:eastAsia="zh-CN"/>
              </w:rPr>
              <w:t>检测报告</w:t>
            </w:r>
            <w:r>
              <w:rPr>
                <w:rFonts w:hint="eastAsia" w:ascii="宋体" w:hAnsi="宋体" w:eastAsia="宋体" w:cs="宋体"/>
                <w:sz w:val="21"/>
                <w:szCs w:val="21"/>
              </w:rPr>
              <w:t>→收费明细单→开具发票→合同款项回收→合同完成</w:t>
            </w:r>
          </w:p>
          <w:p>
            <w:pPr>
              <w:spacing w:line="360" w:lineRule="auto"/>
              <w:rPr>
                <w:rFonts w:hint="eastAsia" w:ascii="宋体" w:hAnsi="宋体" w:eastAsia="宋体" w:cs="宋体"/>
                <w:sz w:val="21"/>
                <w:szCs w:val="21"/>
              </w:rPr>
            </w:pPr>
            <w:r>
              <w:rPr>
                <w:rFonts w:hint="eastAsia" w:ascii="宋体" w:hAnsi="宋体" w:eastAsia="宋体" w:cs="宋体"/>
                <w:sz w:val="21"/>
                <w:szCs w:val="21"/>
              </w:rPr>
              <w:t>3、编制了销售工艺文件：《</w:t>
            </w:r>
            <w:r>
              <w:rPr>
                <w:rFonts w:hint="eastAsia" w:ascii="宋体" w:hAnsi="宋体" w:eastAsia="宋体" w:cs="宋体"/>
                <w:sz w:val="21"/>
                <w:szCs w:val="21"/>
                <w:lang w:val="zh-CN"/>
              </w:rPr>
              <w:t>与顾客沟通过程控制程序</w:t>
            </w:r>
            <w:r>
              <w:rPr>
                <w:rFonts w:hint="eastAsia" w:ascii="宋体" w:hAnsi="宋体" w:eastAsia="宋体" w:cs="宋体"/>
                <w:sz w:val="21"/>
                <w:szCs w:val="21"/>
              </w:rPr>
              <w:t>》、《</w:t>
            </w:r>
            <w:r>
              <w:rPr>
                <w:rFonts w:hint="eastAsia" w:ascii="宋体" w:hAnsi="宋体" w:eastAsia="宋体" w:cs="宋体"/>
                <w:sz w:val="21"/>
                <w:szCs w:val="21"/>
                <w:lang w:val="zh-CN"/>
              </w:rPr>
              <w:t>采购管理控制程序</w:t>
            </w:r>
            <w:r>
              <w:rPr>
                <w:rFonts w:hint="eastAsia" w:ascii="宋体" w:hAnsi="宋体" w:eastAsia="宋体" w:cs="宋体"/>
                <w:sz w:val="21"/>
                <w:szCs w:val="21"/>
              </w:rPr>
              <w:t>》、《</w:t>
            </w:r>
            <w:r>
              <w:rPr>
                <w:rFonts w:hint="eastAsia" w:ascii="宋体" w:hAnsi="宋体" w:eastAsia="宋体" w:cs="宋体"/>
                <w:sz w:val="21"/>
                <w:szCs w:val="21"/>
                <w:lang w:val="zh-CN"/>
              </w:rPr>
              <w:t>销售和服务提供控制程序</w:t>
            </w:r>
            <w:r>
              <w:rPr>
                <w:rFonts w:hint="eastAsia" w:ascii="宋体" w:hAnsi="宋体" w:eastAsia="宋体" w:cs="宋体"/>
                <w:sz w:val="21"/>
                <w:szCs w:val="21"/>
              </w:rPr>
              <w:t>》等。</w:t>
            </w:r>
          </w:p>
          <w:p>
            <w:pPr>
              <w:spacing w:line="360" w:lineRule="auto"/>
              <w:rPr>
                <w:rFonts w:hint="eastAsia" w:ascii="宋体" w:hAnsi="宋体" w:eastAsia="宋体" w:cs="宋体"/>
                <w:sz w:val="21"/>
                <w:szCs w:val="21"/>
              </w:rPr>
            </w:pPr>
            <w:r>
              <w:rPr>
                <w:rFonts w:hint="eastAsia" w:ascii="宋体" w:hAnsi="宋体" w:eastAsia="宋体" w:cs="宋体"/>
                <w:sz w:val="21"/>
                <w:szCs w:val="21"/>
              </w:rPr>
              <w:t>4、收集了相关法律法规：</w:t>
            </w:r>
            <w:r>
              <w:rPr>
                <w:rFonts w:hint="eastAsia" w:ascii="宋体" w:hAnsi="宋体" w:eastAsia="宋体" w:cs="宋体"/>
                <w:sz w:val="21"/>
                <w:szCs w:val="21"/>
                <w:lang w:val="en-GB"/>
              </w:rPr>
              <w:t>质量法、公司法、合同法</w:t>
            </w:r>
            <w:r>
              <w:rPr>
                <w:rFonts w:hint="eastAsia" w:ascii="宋体" w:hAnsi="宋体" w:eastAsia="宋体" w:cs="宋体"/>
                <w:sz w:val="21"/>
                <w:szCs w:val="21"/>
              </w:rPr>
              <w:t>等。</w:t>
            </w:r>
          </w:p>
          <w:p>
            <w:pPr>
              <w:spacing w:line="360" w:lineRule="auto"/>
              <w:rPr>
                <w:rFonts w:hint="eastAsia" w:ascii="宋体" w:hAnsi="宋体" w:eastAsia="宋体" w:cs="宋体"/>
                <w:sz w:val="21"/>
                <w:szCs w:val="21"/>
              </w:rPr>
            </w:pPr>
            <w:r>
              <w:rPr>
                <w:rFonts w:hint="eastAsia" w:ascii="宋体" w:hAnsi="宋体" w:eastAsia="宋体" w:cs="宋体"/>
                <w:sz w:val="21"/>
                <w:szCs w:val="21"/>
              </w:rPr>
              <w:t>5、</w:t>
            </w:r>
            <w:r>
              <w:rPr>
                <w:rFonts w:hint="eastAsia" w:ascii="宋体" w:hAnsi="宋体" w:eastAsia="宋体" w:cs="宋体"/>
                <w:sz w:val="21"/>
                <w:szCs w:val="21"/>
                <w:lang w:val="en-US" w:eastAsia="zh-CN"/>
              </w:rPr>
              <w:t>检测、维修、</w:t>
            </w:r>
            <w:r>
              <w:rPr>
                <w:rFonts w:hint="eastAsia" w:ascii="宋体" w:hAnsi="宋体" w:eastAsia="宋体" w:cs="宋体"/>
                <w:sz w:val="21"/>
                <w:szCs w:val="21"/>
              </w:rPr>
              <w:t>销售及技术服务设施：</w:t>
            </w:r>
            <w:r>
              <w:rPr>
                <w:rFonts w:hint="eastAsia" w:ascii="宋体" w:hAnsi="宋体" w:eastAsia="宋体" w:cs="宋体"/>
                <w:sz w:val="21"/>
                <w:szCs w:val="21"/>
                <w:lang w:val="en-US" w:eastAsia="zh-CN"/>
              </w:rPr>
              <w:t>便携式检测设备、</w:t>
            </w:r>
            <w:r>
              <w:rPr>
                <w:rFonts w:hint="eastAsia" w:ascii="宋体" w:hAnsi="宋体" w:eastAsia="宋体" w:cs="宋体"/>
                <w:sz w:val="21"/>
                <w:szCs w:val="21"/>
              </w:rPr>
              <w:t>电脑、汽车、笔记本、打印机、传真机等，基本满足要求。</w:t>
            </w:r>
          </w:p>
          <w:p>
            <w:pPr>
              <w:spacing w:line="360" w:lineRule="auto"/>
              <w:rPr>
                <w:rFonts w:hint="eastAsia" w:ascii="宋体" w:hAnsi="宋体" w:eastAsia="宋体" w:cs="宋体"/>
                <w:color w:val="auto"/>
                <w:kern w:val="2"/>
                <w:sz w:val="21"/>
                <w:szCs w:val="21"/>
                <w:lang w:val="en-US" w:eastAsia="zh-CN" w:bidi="ar-SA"/>
              </w:rPr>
            </w:pPr>
            <w:r>
              <w:rPr>
                <w:rFonts w:hint="eastAsia" w:ascii="宋体" w:hAnsi="宋体" w:eastAsia="宋体" w:cs="宋体"/>
                <w:sz w:val="21"/>
                <w:szCs w:val="21"/>
              </w:rPr>
              <w:t>6、质量记录：</w:t>
            </w:r>
            <w:r>
              <w:rPr>
                <w:rFonts w:hint="eastAsia" w:ascii="宋体" w:hAnsi="宋体" w:eastAsia="宋体" w:cs="宋体"/>
                <w:sz w:val="21"/>
                <w:szCs w:val="21"/>
                <w:lang w:val="en-US" w:eastAsia="zh-CN"/>
              </w:rPr>
              <w:t>检测原始</w:t>
            </w:r>
            <w:r>
              <w:rPr>
                <w:rFonts w:hint="eastAsia" w:ascii="宋体" w:hAnsi="宋体" w:eastAsia="宋体" w:cs="宋体"/>
                <w:sz w:val="21"/>
                <w:szCs w:val="21"/>
              </w:rPr>
              <w:t>记录多份。</w:t>
            </w:r>
          </w:p>
        </w:tc>
        <w:tc>
          <w:tcPr>
            <w:tcW w:w="1585" w:type="dxa"/>
          </w:tcPr>
          <w:p>
            <w:pPr>
              <w:spacing w:line="360" w:lineRule="auto"/>
              <w:rPr>
                <w:rFonts w:hint="eastAsia" w:ascii="宋体" w:hAnsi="宋体" w:eastAsia="宋体" w:cs="宋体"/>
              </w:rPr>
            </w:pPr>
            <w:r>
              <w:rPr>
                <w:rFonts w:hint="eastAsia" w:ascii="宋体" w:hAnsi="宋体" w:eastAsia="宋体" w:cs="宋体"/>
              </w:rPr>
              <w:t>Y</w:t>
            </w:r>
          </w:p>
          <w:p>
            <w:pPr>
              <w:pStyle w:val="4"/>
              <w:rPr>
                <w:rFonts w:hint="eastAsia" w:ascii="宋体" w:hAnsi="宋体" w:eastAsia="宋体" w:cs="宋体"/>
                <w:color w:val="auto"/>
              </w:rPr>
            </w:pPr>
          </w:p>
          <w:p>
            <w:pPr>
              <w:pStyle w:val="4"/>
              <w:ind w:left="0" w:leftChars="0" w:firstLine="0" w:firstLineChars="0"/>
              <w:jc w:val="left"/>
              <w:rPr>
                <w:rFonts w:hint="eastAsia" w:ascii="宋体" w:hAnsi="宋体" w:eastAsia="宋体" w:cs="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center"/>
          </w:tcPr>
          <w:p>
            <w:p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顾客沟通</w:t>
            </w:r>
          </w:p>
        </w:tc>
        <w:tc>
          <w:tcPr>
            <w:tcW w:w="960" w:type="dxa"/>
            <w:vAlign w:val="top"/>
          </w:tcPr>
          <w:p>
            <w:pPr>
              <w:spacing w:line="360" w:lineRule="auto"/>
              <w:rPr>
                <w:rFonts w:hint="eastAsia" w:ascii="宋体" w:hAnsi="宋体" w:eastAsia="宋体" w:cs="宋体"/>
                <w:sz w:val="24"/>
                <w:szCs w:val="24"/>
              </w:rPr>
            </w:pPr>
          </w:p>
          <w:p>
            <w:p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Q8.2.1</w:t>
            </w:r>
          </w:p>
        </w:tc>
        <w:tc>
          <w:tcPr>
            <w:tcW w:w="10004" w:type="dxa"/>
            <w:vAlign w:val="top"/>
          </w:tcPr>
          <w:p>
            <w:pPr>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市场开发部</w:t>
            </w:r>
            <w:r>
              <w:rPr>
                <w:rFonts w:hint="eastAsia" w:ascii="宋体" w:hAnsi="宋体" w:eastAsia="宋体" w:cs="宋体"/>
                <w:color w:val="auto"/>
                <w:kern w:val="0"/>
                <w:sz w:val="21"/>
                <w:szCs w:val="21"/>
              </w:rPr>
              <w:t>负责人介绍沟通方式主要是电话、传真、资料传递、公司网站、</w:t>
            </w:r>
            <w:r>
              <w:rPr>
                <w:rFonts w:hint="eastAsia" w:ascii="宋体" w:hAnsi="宋体" w:eastAsia="宋体" w:cs="宋体"/>
                <w:color w:val="auto"/>
                <w:kern w:val="0"/>
                <w:sz w:val="21"/>
                <w:szCs w:val="21"/>
                <w:lang w:val="en-US" w:eastAsia="zh-CN"/>
              </w:rPr>
              <w:t>宣传页</w:t>
            </w:r>
            <w:r>
              <w:rPr>
                <w:rFonts w:hint="eastAsia" w:ascii="宋体" w:hAnsi="宋体" w:eastAsia="宋体" w:cs="宋体"/>
                <w:color w:val="auto"/>
                <w:kern w:val="0"/>
                <w:sz w:val="21"/>
                <w:szCs w:val="21"/>
              </w:rPr>
              <w:t>等形式宣传本公司有关产品及公司的有关信誉等。</w:t>
            </w:r>
          </w:p>
          <w:p>
            <w:pPr>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针对合同洽谈、签订、履行过程中的问题，及时电话联系，明确各自的要求，执行合同。</w:t>
            </w:r>
          </w:p>
          <w:p>
            <w:pPr>
              <w:spacing w:line="360" w:lineRule="auto"/>
              <w:jc w:val="left"/>
              <w:rPr>
                <w:rFonts w:hint="eastAsia" w:ascii="宋体" w:hAnsi="宋体" w:eastAsia="宋体" w:cs="宋体"/>
                <w:kern w:val="2"/>
                <w:sz w:val="24"/>
                <w:szCs w:val="24"/>
                <w:lang w:val="en-US" w:eastAsia="zh-CN" w:bidi="ar-SA"/>
              </w:rPr>
            </w:pPr>
            <w:r>
              <w:rPr>
                <w:rFonts w:hint="eastAsia" w:ascii="宋体" w:hAnsi="宋体" w:eastAsia="宋体" w:cs="宋体"/>
                <w:color w:val="auto"/>
                <w:kern w:val="0"/>
                <w:sz w:val="21"/>
                <w:szCs w:val="21"/>
              </w:rPr>
              <w:t>目前沟通效果良好。</w:t>
            </w:r>
          </w:p>
        </w:tc>
        <w:tc>
          <w:tcPr>
            <w:tcW w:w="1585" w:type="dxa"/>
          </w:tcPr>
          <w:p>
            <w:pPr>
              <w:pStyle w:val="4"/>
              <w:ind w:left="0" w:leftChars="0" w:firstLine="0" w:firstLineChars="0"/>
              <w:jc w:val="left"/>
              <w:rPr>
                <w:rFonts w:hint="eastAsia" w:ascii="宋体" w:hAnsi="宋体" w:eastAsia="宋体" w:cs="宋体"/>
                <w:color w:val="FF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center"/>
          </w:tcPr>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rPr>
              <w:t>与产品和服务有关要求的确认、与产品有关要求评审</w:t>
            </w:r>
          </w:p>
        </w:tc>
        <w:tc>
          <w:tcPr>
            <w:tcW w:w="960" w:type="dxa"/>
            <w:vAlign w:val="top"/>
          </w:tcPr>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pStyle w:val="3"/>
              <w:tabs>
                <w:tab w:val="left" w:pos="3510"/>
                <w:tab w:val="left" w:pos="3585"/>
                <w:tab w:val="center" w:pos="4410"/>
                <w:tab w:val="left" w:pos="4620"/>
                <w:tab w:val="left" w:pos="4830"/>
                <w:tab w:val="left" w:pos="5580"/>
              </w:tabs>
              <w:rPr>
                <w:rFonts w:hint="eastAsia" w:ascii="宋体" w:hAnsi="宋体" w:eastAsia="宋体" w:cs="宋体"/>
                <w:color w:val="auto"/>
                <w:sz w:val="24"/>
                <w:szCs w:val="24"/>
              </w:rPr>
            </w:pPr>
          </w:p>
          <w:p>
            <w:pPr>
              <w:pStyle w:val="4"/>
              <w:rPr>
                <w:rFonts w:hint="eastAsia" w:ascii="宋体" w:hAnsi="宋体" w:eastAsia="宋体" w:cs="宋体"/>
                <w:color w:val="auto"/>
                <w:sz w:val="24"/>
                <w:szCs w:val="24"/>
              </w:rPr>
            </w:pPr>
          </w:p>
          <w:p>
            <w:pPr>
              <w:pStyle w:val="4"/>
              <w:rPr>
                <w:rFonts w:hint="eastAsia" w:ascii="宋体" w:hAnsi="宋体" w:eastAsia="宋体" w:cs="宋体"/>
                <w:color w:val="auto"/>
                <w:sz w:val="24"/>
                <w:szCs w:val="24"/>
              </w:rPr>
            </w:pPr>
          </w:p>
          <w:p>
            <w:pPr>
              <w:pStyle w:val="4"/>
              <w:rPr>
                <w:rFonts w:hint="eastAsia" w:ascii="宋体" w:hAnsi="宋体" w:eastAsia="宋体" w:cs="宋体"/>
                <w:color w:val="auto"/>
              </w:rPr>
            </w:pPr>
          </w:p>
          <w:p>
            <w:pPr>
              <w:spacing w:line="360" w:lineRule="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 xml:space="preserve">Q8.2.2、 Q8.2.3 </w:t>
            </w:r>
          </w:p>
        </w:tc>
        <w:tc>
          <w:tcPr>
            <w:tcW w:w="10004" w:type="dxa"/>
            <w:vAlign w:val="center"/>
          </w:tcPr>
          <w:p>
            <w:pPr>
              <w:autoSpaceDE w:val="0"/>
              <w:autoSpaceDN w:val="0"/>
              <w:adjustRightInd w:val="0"/>
              <w:snapToGrid w:val="0"/>
              <w:spacing w:line="360" w:lineRule="auto"/>
              <w:ind w:right="-6" w:rightChars="-3"/>
              <w:rPr>
                <w:rFonts w:hint="eastAsia" w:ascii="宋体" w:hAnsi="宋体" w:eastAsia="宋体" w:cs="宋体"/>
                <w:color w:val="auto"/>
              </w:rPr>
            </w:pPr>
            <w:r>
              <w:rPr>
                <w:rFonts w:hint="eastAsia" w:ascii="宋体" w:hAnsi="宋体" w:eastAsia="宋体" w:cs="宋体"/>
                <w:color w:val="auto"/>
                <w:lang w:eastAsia="zh-CN"/>
              </w:rPr>
              <w:t>市场开发部</w:t>
            </w:r>
            <w:r>
              <w:rPr>
                <w:rFonts w:hint="eastAsia" w:ascii="宋体" w:hAnsi="宋体" w:eastAsia="宋体" w:cs="宋体"/>
                <w:color w:val="auto"/>
              </w:rPr>
              <w:t>经理介绍：通过招标会、市场调查、客户的走访、电话、传真了解市场的需求状态。</w:t>
            </w:r>
          </w:p>
          <w:p>
            <w:pPr>
              <w:autoSpaceDE w:val="0"/>
              <w:autoSpaceDN w:val="0"/>
              <w:adjustRightInd w:val="0"/>
              <w:snapToGrid w:val="0"/>
              <w:spacing w:line="360" w:lineRule="auto"/>
              <w:ind w:right="-6" w:rightChars="-3" w:firstLine="420" w:firstLineChars="200"/>
              <w:rPr>
                <w:rFonts w:hint="eastAsia" w:ascii="宋体" w:hAnsi="宋体" w:eastAsia="宋体" w:cs="宋体"/>
                <w:color w:val="auto"/>
              </w:rPr>
            </w:pPr>
            <w:r>
              <w:rPr>
                <w:rFonts w:hint="eastAsia" w:ascii="宋体" w:hAnsi="宋体" w:eastAsia="宋体" w:cs="宋体"/>
                <w:color w:val="auto"/>
              </w:rPr>
              <w:t>主要业务以招标文件、订单、合同、电话、邮件、传真等形式确定与产品有关的要求，均已保存或进行相应的记录。对顾客的要求由</w:t>
            </w:r>
            <w:r>
              <w:rPr>
                <w:rFonts w:hint="eastAsia" w:ascii="宋体" w:hAnsi="宋体" w:eastAsia="宋体" w:cs="宋体"/>
                <w:color w:val="auto"/>
                <w:lang w:eastAsia="zh-CN"/>
              </w:rPr>
              <w:t>市场开发部</w:t>
            </w:r>
            <w:r>
              <w:rPr>
                <w:rFonts w:hint="eastAsia" w:ascii="宋体" w:hAnsi="宋体" w:eastAsia="宋体" w:cs="宋体"/>
                <w:color w:val="auto"/>
              </w:rPr>
              <w:t>内勤直接对顾客要求进行识别、确认，对于存在的问题直接提出和顾客进行交流沟通，在合同签订前在公司微信群内对合同的要求进行评审。</w:t>
            </w:r>
          </w:p>
          <w:p>
            <w:pPr>
              <w:autoSpaceDE w:val="0"/>
              <w:autoSpaceDN w:val="0"/>
              <w:adjustRightInd w:val="0"/>
              <w:snapToGrid w:val="0"/>
              <w:spacing w:line="360" w:lineRule="auto"/>
              <w:ind w:right="-6" w:rightChars="-3" w:firstLine="420" w:firstLineChars="200"/>
              <w:rPr>
                <w:rFonts w:hint="eastAsia" w:ascii="宋体" w:hAnsi="宋体" w:eastAsia="宋体" w:cs="宋体"/>
                <w:color w:val="auto"/>
              </w:rPr>
            </w:pPr>
            <w:r>
              <w:rPr>
                <w:rFonts w:hint="eastAsia" w:ascii="宋体" w:hAnsi="宋体" w:eastAsia="宋体" w:cs="宋体"/>
                <w:color w:val="auto"/>
                <w:lang w:val="en-US" w:eastAsia="zh-CN"/>
              </w:rPr>
              <w:t>李耀宗</w:t>
            </w:r>
            <w:r>
              <w:rPr>
                <w:rFonts w:hint="eastAsia" w:ascii="宋体" w:hAnsi="宋体" w:eastAsia="宋体" w:cs="宋体"/>
                <w:color w:val="auto"/>
              </w:rPr>
              <w:t>经理介绍，企业收到客户需求后，</w:t>
            </w:r>
            <w:r>
              <w:rPr>
                <w:rFonts w:hint="eastAsia" w:ascii="宋体" w:hAnsi="宋体" w:eastAsia="宋体" w:cs="宋体"/>
                <w:color w:val="auto"/>
                <w:lang w:eastAsia="zh-CN"/>
              </w:rPr>
              <w:t>市场开发部</w:t>
            </w:r>
            <w:r>
              <w:rPr>
                <w:rFonts w:hint="eastAsia" w:ascii="宋体" w:hAnsi="宋体" w:eastAsia="宋体" w:cs="宋体"/>
                <w:color w:val="auto"/>
              </w:rPr>
              <w:t>门内勤人员</w:t>
            </w:r>
            <w:r>
              <w:rPr>
                <w:rFonts w:hint="eastAsia" w:ascii="宋体" w:hAnsi="宋体" w:eastAsia="宋体" w:cs="宋体"/>
                <w:color w:val="auto"/>
                <w:lang w:val="en-US" w:eastAsia="zh-CN"/>
              </w:rPr>
              <w:t>确认是上门检测校准还是送公司检测校准</w:t>
            </w:r>
            <w:r>
              <w:rPr>
                <w:rFonts w:hint="eastAsia" w:ascii="宋体" w:hAnsi="宋体" w:eastAsia="宋体" w:cs="宋体"/>
                <w:color w:val="auto"/>
                <w:lang w:eastAsia="zh-CN"/>
              </w:rPr>
              <w:t>，</w:t>
            </w:r>
            <w:r>
              <w:rPr>
                <w:rFonts w:hint="eastAsia" w:ascii="宋体" w:hAnsi="宋体" w:eastAsia="宋体" w:cs="宋体"/>
                <w:color w:val="auto"/>
                <w:lang w:val="en-US" w:eastAsia="zh-CN"/>
              </w:rPr>
              <w:t>质量技术部、专业计量室</w:t>
            </w:r>
            <w:r>
              <w:rPr>
                <w:rFonts w:hint="eastAsia" w:ascii="宋体" w:hAnsi="宋体" w:eastAsia="宋体" w:cs="宋体"/>
                <w:color w:val="auto"/>
              </w:rPr>
              <w:t>部门负责人和总经理予以评审，没有异议可以满足要求后才签订购销合同，合同经总经理或其授权人签字并加盖企业公章视同经过合同评审，然后回传给客户作为可以满足要求的承诺，合同评审均是在合同回传给客户之前进行。</w:t>
            </w:r>
          </w:p>
          <w:p>
            <w:pPr>
              <w:autoSpaceDE w:val="0"/>
              <w:autoSpaceDN w:val="0"/>
              <w:adjustRightInd w:val="0"/>
              <w:snapToGrid w:val="0"/>
              <w:spacing w:line="360" w:lineRule="auto"/>
              <w:ind w:right="-6" w:rightChars="-3"/>
              <w:rPr>
                <w:rFonts w:hint="eastAsia" w:ascii="宋体" w:hAnsi="宋体" w:eastAsia="宋体" w:cs="宋体"/>
                <w:color w:val="auto"/>
                <w:lang w:eastAsia="zh-CN"/>
              </w:rPr>
            </w:pPr>
            <w:r>
              <w:rPr>
                <w:rFonts w:hint="eastAsia" w:ascii="宋体" w:hAnsi="宋体" w:eastAsia="宋体" w:cs="宋体"/>
                <w:color w:val="auto"/>
              </w:rPr>
              <w:t>抽查</w:t>
            </w:r>
            <w:r>
              <w:rPr>
                <w:rFonts w:hint="eastAsia" w:ascii="宋体" w:hAnsi="宋体" w:eastAsia="宋体" w:cs="宋体"/>
                <w:color w:val="auto"/>
                <w:lang w:eastAsia="zh-CN"/>
              </w:rPr>
              <w:t>：</w:t>
            </w:r>
          </w:p>
          <w:p>
            <w:pPr>
              <w:numPr>
                <w:ilvl w:val="0"/>
                <w:numId w:val="1"/>
              </w:numPr>
              <w:autoSpaceDE w:val="0"/>
              <w:autoSpaceDN w:val="0"/>
              <w:adjustRightInd w:val="0"/>
              <w:snapToGrid w:val="0"/>
              <w:spacing w:line="360" w:lineRule="auto"/>
              <w:ind w:right="-6" w:rightChars="-3"/>
              <w:rPr>
                <w:rFonts w:hint="eastAsia" w:ascii="宋体" w:hAnsi="宋体" w:eastAsia="宋体" w:cs="宋体"/>
                <w:color w:val="auto"/>
                <w:lang w:val="en-US" w:eastAsia="zh-CN"/>
              </w:rPr>
            </w:pPr>
            <w:r>
              <w:rPr>
                <w:rFonts w:hint="eastAsia" w:ascii="宋体" w:hAnsi="宋体" w:eastAsia="宋体" w:cs="宋体"/>
                <w:color w:val="auto"/>
                <w:lang w:val="en-US" w:eastAsia="zh-CN"/>
              </w:rPr>
              <w:t>合同编号：XASL-2020-022， 2020.7.7与陕西步长制药有限公司签订《2020年计量技术服务合同》，技</w:t>
            </w:r>
            <w:r>
              <w:rPr>
                <w:rFonts w:hint="eastAsia" w:ascii="宋体" w:hAnsi="宋体" w:eastAsia="宋体" w:cs="宋体"/>
                <w:color w:val="auto"/>
              </w:rPr>
              <w:drawing>
                <wp:anchor distT="0" distB="0" distL="114300" distR="114300" simplePos="0" relativeHeight="251664384" behindDoc="0" locked="0" layoutInCell="1" allowOverlap="1">
                  <wp:simplePos x="0" y="0"/>
                  <wp:positionH relativeFrom="column">
                    <wp:posOffset>4127500</wp:posOffset>
                  </wp:positionH>
                  <wp:positionV relativeFrom="paragraph">
                    <wp:posOffset>255270</wp:posOffset>
                  </wp:positionV>
                  <wp:extent cx="1618615" cy="2281555"/>
                  <wp:effectExtent l="0" t="0" r="6985" b="4445"/>
                  <wp:wrapNone/>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6"/>
                          <a:stretch>
                            <a:fillRect/>
                          </a:stretch>
                        </pic:blipFill>
                        <pic:spPr>
                          <a:xfrm>
                            <a:off x="0" y="0"/>
                            <a:ext cx="1618615" cy="2281555"/>
                          </a:xfrm>
                          <a:prstGeom prst="rect">
                            <a:avLst/>
                          </a:prstGeom>
                          <a:noFill/>
                          <a:ln>
                            <a:noFill/>
                          </a:ln>
                        </pic:spPr>
                      </pic:pic>
                    </a:graphicData>
                  </a:graphic>
                </wp:anchor>
              </w:drawing>
            </w:r>
            <w:r>
              <w:rPr>
                <w:rFonts w:hint="eastAsia" w:ascii="宋体" w:hAnsi="宋体" w:eastAsia="宋体" w:cs="宋体"/>
                <w:color w:val="auto"/>
                <w:lang w:val="en-US" w:eastAsia="zh-CN"/>
              </w:rPr>
              <w:t>术服务内容：计量技术服务，清单详见附件。</w:t>
            </w:r>
          </w:p>
          <w:p>
            <w:pPr>
              <w:pStyle w:val="4"/>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rPr>
              <w:drawing>
                <wp:anchor distT="0" distB="0" distL="114300" distR="114300" simplePos="0" relativeHeight="251663360" behindDoc="0" locked="0" layoutInCell="1" allowOverlap="1">
                  <wp:simplePos x="0" y="0"/>
                  <wp:positionH relativeFrom="column">
                    <wp:posOffset>2108200</wp:posOffset>
                  </wp:positionH>
                  <wp:positionV relativeFrom="paragraph">
                    <wp:posOffset>7620</wp:posOffset>
                  </wp:positionV>
                  <wp:extent cx="1720215" cy="2262505"/>
                  <wp:effectExtent l="0" t="0" r="6985" b="10795"/>
                  <wp:wrapNone/>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7"/>
                          <a:stretch>
                            <a:fillRect/>
                          </a:stretch>
                        </pic:blipFill>
                        <pic:spPr>
                          <a:xfrm>
                            <a:off x="0" y="0"/>
                            <a:ext cx="1720215" cy="2262505"/>
                          </a:xfrm>
                          <a:prstGeom prst="rect">
                            <a:avLst/>
                          </a:prstGeom>
                          <a:noFill/>
                          <a:ln>
                            <a:noFill/>
                          </a:ln>
                        </pic:spPr>
                      </pic:pic>
                    </a:graphicData>
                  </a:graphic>
                </wp:anchor>
              </w:drawing>
            </w:r>
            <w:r>
              <w:rPr>
                <w:rFonts w:hint="eastAsia" w:ascii="宋体" w:hAnsi="宋体" w:eastAsia="宋体" w:cs="宋体"/>
                <w:color w:val="auto"/>
              </w:rPr>
              <w:drawing>
                <wp:anchor distT="0" distB="0" distL="114300" distR="114300" simplePos="0" relativeHeight="251662336" behindDoc="0" locked="0" layoutInCell="1" allowOverlap="1">
                  <wp:simplePos x="0" y="0"/>
                  <wp:positionH relativeFrom="column">
                    <wp:posOffset>101600</wp:posOffset>
                  </wp:positionH>
                  <wp:positionV relativeFrom="paragraph">
                    <wp:posOffset>24130</wp:posOffset>
                  </wp:positionV>
                  <wp:extent cx="1720850" cy="2254250"/>
                  <wp:effectExtent l="0" t="0" r="6350" b="6350"/>
                  <wp:wrapNone/>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8"/>
                          <a:stretch>
                            <a:fillRect/>
                          </a:stretch>
                        </pic:blipFill>
                        <pic:spPr>
                          <a:xfrm>
                            <a:off x="0" y="0"/>
                            <a:ext cx="1720850" cy="2254250"/>
                          </a:xfrm>
                          <a:prstGeom prst="rect">
                            <a:avLst/>
                          </a:prstGeom>
                          <a:noFill/>
                          <a:ln>
                            <a:noFill/>
                          </a:ln>
                        </pic:spPr>
                      </pic:pic>
                    </a:graphicData>
                  </a:graphic>
                </wp:anchor>
              </w:drawing>
            </w:r>
          </w:p>
          <w:p>
            <w:pPr>
              <w:pStyle w:val="4"/>
              <w:rPr>
                <w:rFonts w:hint="eastAsia" w:ascii="宋体" w:hAnsi="宋体" w:eastAsia="宋体" w:cs="宋体"/>
                <w:color w:val="auto"/>
                <w:lang w:val="en-US" w:eastAsia="zh-CN"/>
              </w:rPr>
            </w:pPr>
          </w:p>
          <w:p>
            <w:pPr>
              <w:pStyle w:val="4"/>
              <w:rPr>
                <w:rFonts w:hint="eastAsia" w:ascii="宋体" w:hAnsi="宋体" w:eastAsia="宋体" w:cs="宋体"/>
                <w:color w:val="auto"/>
                <w:lang w:val="en-US" w:eastAsia="zh-CN"/>
              </w:rPr>
            </w:pPr>
          </w:p>
          <w:p>
            <w:pPr>
              <w:pStyle w:val="4"/>
              <w:rPr>
                <w:rFonts w:hint="eastAsia" w:ascii="宋体" w:hAnsi="宋体" w:eastAsia="宋体" w:cs="宋体"/>
                <w:color w:val="auto"/>
                <w:lang w:val="en-US" w:eastAsia="zh-CN"/>
              </w:rPr>
            </w:pPr>
          </w:p>
          <w:p>
            <w:pPr>
              <w:pStyle w:val="4"/>
              <w:rPr>
                <w:rFonts w:hint="eastAsia" w:ascii="宋体" w:hAnsi="宋体" w:eastAsia="宋体" w:cs="宋体"/>
                <w:color w:val="auto"/>
                <w:lang w:val="en-US" w:eastAsia="zh-CN"/>
              </w:rPr>
            </w:pPr>
          </w:p>
          <w:p>
            <w:pPr>
              <w:pStyle w:val="4"/>
              <w:rPr>
                <w:rFonts w:hint="eastAsia" w:ascii="宋体" w:hAnsi="宋体" w:eastAsia="宋体" w:cs="宋体"/>
                <w:color w:val="auto"/>
                <w:lang w:val="en-US" w:eastAsia="zh-CN"/>
              </w:rPr>
            </w:pPr>
          </w:p>
          <w:p>
            <w:pPr>
              <w:pStyle w:val="4"/>
              <w:ind w:left="0" w:leftChars="0" w:firstLine="0" w:firstLineChars="0"/>
              <w:rPr>
                <w:rFonts w:hint="eastAsia" w:ascii="宋体" w:hAnsi="宋体" w:eastAsia="宋体" w:cs="宋体"/>
                <w:color w:val="auto"/>
                <w:lang w:val="en-US" w:eastAsia="zh-CN"/>
              </w:rPr>
            </w:pPr>
          </w:p>
          <w:p>
            <w:pPr>
              <w:pStyle w:val="4"/>
              <w:ind w:left="0" w:leftChars="0" w:firstLine="0" w:firstLineChars="0"/>
              <w:rPr>
                <w:rFonts w:hint="eastAsia" w:ascii="宋体" w:hAnsi="宋体" w:eastAsia="宋体" w:cs="宋体"/>
                <w:color w:val="auto"/>
                <w:lang w:val="en-US" w:eastAsia="zh-CN"/>
              </w:rPr>
            </w:pPr>
          </w:p>
          <w:p>
            <w:pPr>
              <w:pStyle w:val="4"/>
              <w:ind w:left="0" w:leftChars="0" w:firstLine="0" w:firstLineChars="0"/>
              <w:rPr>
                <w:rFonts w:hint="eastAsia" w:ascii="宋体" w:hAnsi="宋体" w:eastAsia="宋体" w:cs="宋体"/>
                <w:color w:val="auto"/>
                <w:lang w:val="en-US" w:eastAsia="zh-CN"/>
              </w:rPr>
            </w:pPr>
          </w:p>
          <w:p>
            <w:pPr>
              <w:pStyle w:val="4"/>
              <w:ind w:left="0" w:leftChars="0" w:firstLine="0" w:firstLineChars="0"/>
              <w:rPr>
                <w:rFonts w:hint="eastAsia" w:ascii="宋体" w:hAnsi="宋体" w:eastAsia="宋体" w:cs="宋体"/>
                <w:color w:val="auto"/>
                <w:lang w:val="en-US" w:eastAsia="zh-CN"/>
              </w:rPr>
            </w:pPr>
          </w:p>
          <w:p>
            <w:pPr>
              <w:pStyle w:val="4"/>
              <w:ind w:left="0" w:leftChars="0" w:firstLine="0" w:firstLineChars="0"/>
              <w:rPr>
                <w:rFonts w:hint="eastAsia" w:ascii="宋体" w:hAnsi="宋体" w:eastAsia="宋体" w:cs="宋体"/>
                <w:color w:val="auto"/>
                <w:lang w:val="en-US" w:eastAsia="zh-CN"/>
              </w:rPr>
            </w:pPr>
          </w:p>
          <w:p>
            <w:pPr>
              <w:numPr>
                <w:ilvl w:val="0"/>
                <w:numId w:val="2"/>
              </w:numPr>
              <w:autoSpaceDE w:val="0"/>
              <w:autoSpaceDN w:val="0"/>
              <w:adjustRightInd w:val="0"/>
              <w:snapToGrid w:val="0"/>
              <w:spacing w:line="360" w:lineRule="auto"/>
              <w:ind w:right="-6" w:rightChars="-3"/>
              <w:rPr>
                <w:rFonts w:hint="eastAsia" w:ascii="宋体" w:hAnsi="宋体" w:eastAsia="宋体" w:cs="宋体"/>
                <w:color w:val="auto"/>
                <w:lang w:val="en-US" w:eastAsia="zh-CN"/>
              </w:rPr>
            </w:pPr>
            <w:r>
              <w:rPr>
                <w:rFonts w:hint="eastAsia" w:ascii="宋体" w:hAnsi="宋体" w:eastAsia="宋体" w:cs="宋体"/>
                <w:color w:val="auto"/>
              </w:rPr>
              <w:drawing>
                <wp:anchor distT="0" distB="0" distL="114300" distR="114300" simplePos="0" relativeHeight="251667456" behindDoc="0" locked="0" layoutInCell="1" allowOverlap="1">
                  <wp:simplePos x="0" y="0"/>
                  <wp:positionH relativeFrom="column">
                    <wp:posOffset>4032250</wp:posOffset>
                  </wp:positionH>
                  <wp:positionV relativeFrom="paragraph">
                    <wp:posOffset>477520</wp:posOffset>
                  </wp:positionV>
                  <wp:extent cx="1623695" cy="2188845"/>
                  <wp:effectExtent l="0" t="0" r="1905" b="8255"/>
                  <wp:wrapNone/>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9"/>
                          <a:stretch>
                            <a:fillRect/>
                          </a:stretch>
                        </pic:blipFill>
                        <pic:spPr>
                          <a:xfrm>
                            <a:off x="0" y="0"/>
                            <a:ext cx="1623695" cy="2188845"/>
                          </a:xfrm>
                          <a:prstGeom prst="rect">
                            <a:avLst/>
                          </a:prstGeom>
                          <a:noFill/>
                          <a:ln>
                            <a:noFill/>
                          </a:ln>
                        </pic:spPr>
                      </pic:pic>
                    </a:graphicData>
                  </a:graphic>
                </wp:anchor>
              </w:drawing>
            </w:r>
            <w:r>
              <w:rPr>
                <w:rFonts w:hint="eastAsia" w:ascii="宋体" w:hAnsi="宋体" w:eastAsia="宋体" w:cs="宋体"/>
                <w:color w:val="auto"/>
              </w:rPr>
              <w:drawing>
                <wp:anchor distT="0" distB="0" distL="114300" distR="114300" simplePos="0" relativeHeight="251666432" behindDoc="0" locked="0" layoutInCell="1" allowOverlap="1">
                  <wp:simplePos x="0" y="0"/>
                  <wp:positionH relativeFrom="column">
                    <wp:posOffset>2076450</wp:posOffset>
                  </wp:positionH>
                  <wp:positionV relativeFrom="paragraph">
                    <wp:posOffset>471170</wp:posOffset>
                  </wp:positionV>
                  <wp:extent cx="1624965" cy="2191385"/>
                  <wp:effectExtent l="0" t="0" r="635" b="5715"/>
                  <wp:wrapNone/>
                  <wp:docPr id="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pic:cNvPicPr>
                            <a:picLocks noChangeAspect="1"/>
                          </pic:cNvPicPr>
                        </pic:nvPicPr>
                        <pic:blipFill>
                          <a:blip r:embed="rId10"/>
                          <a:stretch>
                            <a:fillRect/>
                          </a:stretch>
                        </pic:blipFill>
                        <pic:spPr>
                          <a:xfrm>
                            <a:off x="0" y="0"/>
                            <a:ext cx="1624965" cy="2191385"/>
                          </a:xfrm>
                          <a:prstGeom prst="rect">
                            <a:avLst/>
                          </a:prstGeom>
                          <a:noFill/>
                          <a:ln>
                            <a:noFill/>
                          </a:ln>
                        </pic:spPr>
                      </pic:pic>
                    </a:graphicData>
                  </a:graphic>
                </wp:anchor>
              </w:drawing>
            </w:r>
            <w:r>
              <w:rPr>
                <w:rFonts w:hint="eastAsia" w:ascii="宋体" w:hAnsi="宋体" w:eastAsia="宋体" w:cs="宋体"/>
                <w:color w:val="auto"/>
              </w:rPr>
              <w:drawing>
                <wp:anchor distT="0" distB="0" distL="114300" distR="114300" simplePos="0" relativeHeight="251665408" behindDoc="0" locked="0" layoutInCell="1" allowOverlap="1">
                  <wp:simplePos x="0" y="0"/>
                  <wp:positionH relativeFrom="column">
                    <wp:posOffset>120650</wp:posOffset>
                  </wp:positionH>
                  <wp:positionV relativeFrom="paragraph">
                    <wp:posOffset>477520</wp:posOffset>
                  </wp:positionV>
                  <wp:extent cx="1640840" cy="2210435"/>
                  <wp:effectExtent l="0" t="0" r="10160" b="12065"/>
                  <wp:wrapNone/>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pic:cNvPicPr>
                        </pic:nvPicPr>
                        <pic:blipFill>
                          <a:blip r:embed="rId11"/>
                          <a:stretch>
                            <a:fillRect/>
                          </a:stretch>
                        </pic:blipFill>
                        <pic:spPr>
                          <a:xfrm>
                            <a:off x="0" y="0"/>
                            <a:ext cx="1640840" cy="2210435"/>
                          </a:xfrm>
                          <a:prstGeom prst="rect">
                            <a:avLst/>
                          </a:prstGeom>
                          <a:noFill/>
                          <a:ln>
                            <a:noFill/>
                          </a:ln>
                        </pic:spPr>
                      </pic:pic>
                    </a:graphicData>
                  </a:graphic>
                </wp:anchor>
              </w:drawing>
            </w:r>
            <w:r>
              <w:rPr>
                <w:rFonts w:hint="eastAsia" w:ascii="宋体" w:hAnsi="宋体" w:eastAsia="宋体" w:cs="宋体"/>
                <w:color w:val="auto"/>
                <w:lang w:val="en-US" w:eastAsia="zh-CN"/>
              </w:rPr>
              <w:t>合同编号：XASL-2021-006 ，2019.6.10与金花企业（集团）股份有限公司西安金花制药厂签订的《西安金花制药厂计量技术服务合同》。技术服务内容：计量技术服务，清单详见附件。</w:t>
            </w:r>
          </w:p>
          <w:p>
            <w:pPr>
              <w:pStyle w:val="3"/>
              <w:keepNext/>
              <w:widowControl w:val="0"/>
              <w:numPr>
                <w:ilvl w:val="0"/>
                <w:numId w:val="0"/>
              </w:numPr>
              <w:tabs>
                <w:tab w:val="left" w:pos="3510"/>
                <w:tab w:val="left" w:pos="3585"/>
                <w:tab w:val="center" w:pos="4410"/>
                <w:tab w:val="left" w:pos="4620"/>
                <w:tab w:val="left" w:pos="4830"/>
                <w:tab w:val="left" w:pos="5580"/>
              </w:tabs>
              <w:jc w:val="both"/>
              <w:outlineLvl w:val="1"/>
              <w:rPr>
                <w:rFonts w:hint="eastAsia" w:ascii="宋体" w:hAnsi="宋体" w:eastAsia="宋体" w:cs="宋体"/>
                <w:color w:val="auto"/>
                <w:lang w:val="en-US" w:eastAsia="zh-CN"/>
              </w:rPr>
            </w:pPr>
          </w:p>
          <w:p>
            <w:pPr>
              <w:pStyle w:val="4"/>
              <w:rPr>
                <w:rFonts w:hint="eastAsia" w:ascii="宋体" w:hAnsi="宋体" w:eastAsia="宋体" w:cs="宋体"/>
                <w:color w:val="auto"/>
                <w:lang w:val="en-US" w:eastAsia="zh-CN"/>
              </w:rPr>
            </w:pPr>
          </w:p>
          <w:p>
            <w:pPr>
              <w:pStyle w:val="4"/>
              <w:rPr>
                <w:rFonts w:hint="eastAsia" w:ascii="宋体" w:hAnsi="宋体" w:eastAsia="宋体" w:cs="宋体"/>
                <w:color w:val="auto"/>
                <w:lang w:val="en-US" w:eastAsia="zh-CN"/>
              </w:rPr>
            </w:pPr>
          </w:p>
          <w:p>
            <w:pPr>
              <w:pStyle w:val="4"/>
              <w:rPr>
                <w:rFonts w:hint="eastAsia" w:ascii="宋体" w:hAnsi="宋体" w:eastAsia="宋体" w:cs="宋体"/>
                <w:color w:val="auto"/>
                <w:lang w:val="en-US" w:eastAsia="zh-CN"/>
              </w:rPr>
            </w:pPr>
          </w:p>
          <w:p>
            <w:pPr>
              <w:pStyle w:val="4"/>
              <w:rPr>
                <w:rFonts w:hint="eastAsia" w:ascii="宋体" w:hAnsi="宋体" w:eastAsia="宋体" w:cs="宋体"/>
                <w:color w:val="auto"/>
                <w:lang w:val="en-US" w:eastAsia="zh-CN"/>
              </w:rPr>
            </w:pPr>
          </w:p>
          <w:p>
            <w:pPr>
              <w:pStyle w:val="4"/>
              <w:rPr>
                <w:rFonts w:hint="eastAsia" w:ascii="宋体" w:hAnsi="宋体" w:eastAsia="宋体" w:cs="宋体"/>
                <w:color w:val="auto"/>
                <w:lang w:val="en-US" w:eastAsia="zh-CN"/>
              </w:rPr>
            </w:pPr>
          </w:p>
          <w:p>
            <w:pPr>
              <w:pStyle w:val="4"/>
              <w:rPr>
                <w:rFonts w:hint="eastAsia" w:ascii="宋体" w:hAnsi="宋体" w:eastAsia="宋体" w:cs="宋体"/>
                <w:color w:val="auto"/>
                <w:lang w:val="en-US" w:eastAsia="zh-CN"/>
              </w:rPr>
            </w:pPr>
          </w:p>
          <w:p>
            <w:pPr>
              <w:pStyle w:val="4"/>
              <w:rPr>
                <w:rFonts w:hint="eastAsia" w:ascii="宋体" w:hAnsi="宋体" w:eastAsia="宋体" w:cs="宋体"/>
                <w:color w:val="auto"/>
                <w:lang w:val="en-US" w:eastAsia="zh-CN"/>
              </w:rPr>
            </w:pPr>
          </w:p>
          <w:p>
            <w:pPr>
              <w:pStyle w:val="4"/>
              <w:rPr>
                <w:rFonts w:hint="eastAsia" w:ascii="宋体" w:hAnsi="宋体" w:eastAsia="宋体" w:cs="宋体"/>
                <w:color w:val="auto"/>
                <w:lang w:val="en-US" w:eastAsia="zh-CN"/>
              </w:rPr>
            </w:pPr>
          </w:p>
          <w:p>
            <w:pPr>
              <w:numPr>
                <w:ilvl w:val="0"/>
                <w:numId w:val="2"/>
              </w:numPr>
              <w:autoSpaceDE w:val="0"/>
              <w:autoSpaceDN w:val="0"/>
              <w:adjustRightInd w:val="0"/>
              <w:snapToGrid w:val="0"/>
              <w:spacing w:line="360" w:lineRule="auto"/>
              <w:ind w:left="0" w:leftChars="0" w:right="-6" w:rightChars="-3"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合同编号：2021年050026,2021.4.28与中国石油天然气股份有限公司长庆油田分公司陇东页岩油开发项目部。签订的陇东页岩油开发项目部2021年仪表计量技术服务</w:t>
            </w:r>
            <w:bookmarkStart w:id="0" w:name="_GoBack"/>
            <w:bookmarkEnd w:id="0"/>
            <w:r>
              <w:rPr>
                <w:rFonts w:hint="eastAsia" w:ascii="宋体" w:hAnsi="宋体" w:eastAsia="宋体" w:cs="宋体"/>
                <w:color w:val="auto"/>
                <w:lang w:val="en-US" w:eastAsia="zh-CN"/>
              </w:rPr>
              <w:t>。</w:t>
            </w:r>
          </w:p>
          <w:p>
            <w:pPr>
              <w:pStyle w:val="3"/>
              <w:keepNext/>
              <w:widowControl w:val="0"/>
              <w:numPr>
                <w:ilvl w:val="0"/>
                <w:numId w:val="0"/>
              </w:numPr>
              <w:tabs>
                <w:tab w:val="left" w:pos="3510"/>
                <w:tab w:val="left" w:pos="3585"/>
                <w:tab w:val="center" w:pos="4410"/>
                <w:tab w:val="left" w:pos="4620"/>
                <w:tab w:val="left" w:pos="4830"/>
                <w:tab w:val="left" w:pos="5580"/>
              </w:tabs>
              <w:jc w:val="both"/>
              <w:outlineLvl w:val="1"/>
              <w:rPr>
                <w:rFonts w:hint="eastAsia" w:ascii="宋体" w:hAnsi="宋体" w:eastAsia="宋体" w:cs="宋体"/>
                <w:color w:val="auto"/>
                <w:lang w:val="en-US" w:eastAsia="zh-CN"/>
              </w:rPr>
            </w:pPr>
            <w:r>
              <w:rPr>
                <w:rFonts w:hint="eastAsia" w:ascii="宋体" w:hAnsi="宋体" w:eastAsia="宋体" w:cs="宋体"/>
                <w:color w:val="auto"/>
              </w:rPr>
              <w:drawing>
                <wp:anchor distT="0" distB="0" distL="114300" distR="114300" simplePos="0" relativeHeight="251669504" behindDoc="0" locked="0" layoutInCell="1" allowOverlap="1">
                  <wp:simplePos x="0" y="0"/>
                  <wp:positionH relativeFrom="column">
                    <wp:posOffset>1936750</wp:posOffset>
                  </wp:positionH>
                  <wp:positionV relativeFrom="paragraph">
                    <wp:posOffset>12700</wp:posOffset>
                  </wp:positionV>
                  <wp:extent cx="1720850" cy="2470785"/>
                  <wp:effectExtent l="0" t="0" r="6350" b="5715"/>
                  <wp:wrapNone/>
                  <wp:docPr id="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
                          <pic:cNvPicPr>
                            <a:picLocks noChangeAspect="1"/>
                          </pic:cNvPicPr>
                        </pic:nvPicPr>
                        <pic:blipFill>
                          <a:blip r:embed="rId12"/>
                          <a:stretch>
                            <a:fillRect/>
                          </a:stretch>
                        </pic:blipFill>
                        <pic:spPr>
                          <a:xfrm>
                            <a:off x="0" y="0"/>
                            <a:ext cx="1720850" cy="2470785"/>
                          </a:xfrm>
                          <a:prstGeom prst="rect">
                            <a:avLst/>
                          </a:prstGeom>
                          <a:noFill/>
                          <a:ln>
                            <a:noFill/>
                          </a:ln>
                        </pic:spPr>
                      </pic:pic>
                    </a:graphicData>
                  </a:graphic>
                </wp:anchor>
              </w:drawing>
            </w:r>
            <w:r>
              <w:rPr>
                <w:rFonts w:hint="eastAsia" w:ascii="宋体" w:hAnsi="宋体" w:eastAsia="宋体" w:cs="宋体"/>
                <w:color w:val="auto"/>
              </w:rPr>
              <w:drawing>
                <wp:anchor distT="0" distB="0" distL="114300" distR="114300" simplePos="0" relativeHeight="251670528" behindDoc="0" locked="0" layoutInCell="1" allowOverlap="1">
                  <wp:simplePos x="0" y="0"/>
                  <wp:positionH relativeFrom="column">
                    <wp:posOffset>3879850</wp:posOffset>
                  </wp:positionH>
                  <wp:positionV relativeFrom="paragraph">
                    <wp:posOffset>6350</wp:posOffset>
                  </wp:positionV>
                  <wp:extent cx="1748790" cy="2471420"/>
                  <wp:effectExtent l="0" t="0" r="3810" b="5080"/>
                  <wp:wrapNone/>
                  <wp:docPr id="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
                          <pic:cNvPicPr>
                            <a:picLocks noChangeAspect="1"/>
                          </pic:cNvPicPr>
                        </pic:nvPicPr>
                        <pic:blipFill>
                          <a:blip r:embed="rId13"/>
                          <a:stretch>
                            <a:fillRect/>
                          </a:stretch>
                        </pic:blipFill>
                        <pic:spPr>
                          <a:xfrm>
                            <a:off x="0" y="0"/>
                            <a:ext cx="1748790" cy="2471420"/>
                          </a:xfrm>
                          <a:prstGeom prst="rect">
                            <a:avLst/>
                          </a:prstGeom>
                          <a:noFill/>
                          <a:ln>
                            <a:noFill/>
                          </a:ln>
                        </pic:spPr>
                      </pic:pic>
                    </a:graphicData>
                  </a:graphic>
                </wp:anchor>
              </w:drawing>
            </w:r>
            <w:r>
              <w:rPr>
                <w:rFonts w:hint="eastAsia" w:ascii="宋体" w:hAnsi="宋体" w:eastAsia="宋体" w:cs="宋体"/>
                <w:color w:val="auto"/>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1732280" cy="2482850"/>
                  <wp:effectExtent l="0" t="0" r="7620" b="6350"/>
                  <wp:wrapNone/>
                  <wp:docPr id="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pic:cNvPicPr>
                            <a:picLocks noChangeAspect="1"/>
                          </pic:cNvPicPr>
                        </pic:nvPicPr>
                        <pic:blipFill>
                          <a:blip r:embed="rId14"/>
                          <a:stretch>
                            <a:fillRect/>
                          </a:stretch>
                        </pic:blipFill>
                        <pic:spPr>
                          <a:xfrm>
                            <a:off x="0" y="0"/>
                            <a:ext cx="1732280" cy="2482850"/>
                          </a:xfrm>
                          <a:prstGeom prst="rect">
                            <a:avLst/>
                          </a:prstGeom>
                          <a:noFill/>
                          <a:ln>
                            <a:noFill/>
                          </a:ln>
                        </pic:spPr>
                      </pic:pic>
                    </a:graphicData>
                  </a:graphic>
                </wp:anchor>
              </w:drawing>
            </w:r>
          </w:p>
          <w:p>
            <w:pPr>
              <w:pStyle w:val="4"/>
              <w:rPr>
                <w:rFonts w:hint="eastAsia" w:ascii="宋体" w:hAnsi="宋体" w:eastAsia="宋体" w:cs="宋体"/>
                <w:color w:val="auto"/>
                <w:lang w:val="en-US" w:eastAsia="zh-CN"/>
              </w:rPr>
            </w:pPr>
          </w:p>
          <w:p>
            <w:pPr>
              <w:pStyle w:val="4"/>
              <w:rPr>
                <w:rFonts w:hint="eastAsia" w:ascii="宋体" w:hAnsi="宋体" w:eastAsia="宋体" w:cs="宋体"/>
                <w:color w:val="auto"/>
                <w:lang w:val="en-US" w:eastAsia="zh-CN"/>
              </w:rPr>
            </w:pPr>
          </w:p>
          <w:p>
            <w:pPr>
              <w:pStyle w:val="4"/>
              <w:rPr>
                <w:rFonts w:hint="eastAsia" w:ascii="宋体" w:hAnsi="宋体" w:eastAsia="宋体" w:cs="宋体"/>
                <w:color w:val="auto"/>
                <w:lang w:val="en-US" w:eastAsia="zh-CN"/>
              </w:rPr>
            </w:pPr>
          </w:p>
          <w:p>
            <w:pPr>
              <w:pStyle w:val="4"/>
              <w:rPr>
                <w:rFonts w:hint="eastAsia" w:ascii="宋体" w:hAnsi="宋体" w:eastAsia="宋体" w:cs="宋体"/>
                <w:color w:val="auto"/>
                <w:lang w:val="en-US" w:eastAsia="zh-CN"/>
              </w:rPr>
            </w:pPr>
          </w:p>
          <w:p>
            <w:pPr>
              <w:pStyle w:val="4"/>
              <w:rPr>
                <w:rFonts w:hint="eastAsia" w:ascii="宋体" w:hAnsi="宋体" w:eastAsia="宋体" w:cs="宋体"/>
                <w:color w:val="auto"/>
                <w:lang w:val="en-US" w:eastAsia="zh-CN"/>
              </w:rPr>
            </w:pPr>
          </w:p>
          <w:p>
            <w:pPr>
              <w:pStyle w:val="4"/>
              <w:rPr>
                <w:rFonts w:hint="eastAsia" w:ascii="宋体" w:hAnsi="宋体" w:eastAsia="宋体" w:cs="宋体"/>
                <w:color w:val="auto"/>
                <w:lang w:val="en-US" w:eastAsia="zh-CN"/>
              </w:rPr>
            </w:pPr>
          </w:p>
          <w:p>
            <w:pPr>
              <w:pStyle w:val="4"/>
              <w:rPr>
                <w:rFonts w:hint="eastAsia" w:ascii="宋体" w:hAnsi="宋体" w:eastAsia="宋体" w:cs="宋体"/>
                <w:color w:val="auto"/>
                <w:lang w:val="en-US" w:eastAsia="zh-CN"/>
              </w:rPr>
            </w:pPr>
          </w:p>
          <w:p>
            <w:pPr>
              <w:pStyle w:val="4"/>
              <w:rPr>
                <w:rFonts w:hint="eastAsia" w:ascii="宋体" w:hAnsi="宋体" w:eastAsia="宋体" w:cs="宋体"/>
                <w:color w:val="auto"/>
                <w:lang w:val="en-US" w:eastAsia="zh-CN"/>
              </w:rPr>
            </w:pPr>
          </w:p>
          <w:p>
            <w:pPr>
              <w:pStyle w:val="4"/>
              <w:rPr>
                <w:rFonts w:hint="eastAsia" w:ascii="宋体" w:hAnsi="宋体" w:eastAsia="宋体" w:cs="宋体"/>
                <w:color w:val="auto"/>
                <w:lang w:val="en-US" w:eastAsia="zh-CN"/>
              </w:rPr>
            </w:pPr>
          </w:p>
          <w:p>
            <w:pPr>
              <w:pStyle w:val="4"/>
              <w:rPr>
                <w:rFonts w:hint="eastAsia" w:ascii="宋体" w:hAnsi="宋体" w:eastAsia="宋体" w:cs="宋体"/>
                <w:color w:val="auto"/>
                <w:lang w:val="en-US" w:eastAsia="zh-CN"/>
              </w:rPr>
            </w:pPr>
          </w:p>
          <w:p>
            <w:pPr>
              <w:pStyle w:val="2"/>
              <w:tabs>
                <w:tab w:val="left" w:pos="0"/>
                <w:tab w:val="left" w:pos="180"/>
              </w:tabs>
              <w:rPr>
                <w:rFonts w:hint="eastAsia" w:ascii="宋体" w:hAnsi="宋体" w:eastAsia="宋体" w:cs="宋体"/>
                <w:sz w:val="21"/>
                <w:szCs w:val="21"/>
                <w:lang w:val="en-US" w:eastAsia="zh-CN"/>
              </w:rPr>
            </w:pPr>
            <w:r>
              <w:rPr>
                <w:rFonts w:hint="eastAsia" w:ascii="宋体" w:hAnsi="宋体" w:eastAsia="宋体" w:cs="宋体"/>
              </w:rPr>
              <w:drawing>
                <wp:anchor distT="0" distB="0" distL="114300" distR="114300" simplePos="0" relativeHeight="251672576" behindDoc="0" locked="0" layoutInCell="1" allowOverlap="1">
                  <wp:simplePos x="0" y="0"/>
                  <wp:positionH relativeFrom="column">
                    <wp:posOffset>3511550</wp:posOffset>
                  </wp:positionH>
                  <wp:positionV relativeFrom="paragraph">
                    <wp:posOffset>384810</wp:posOffset>
                  </wp:positionV>
                  <wp:extent cx="1670050" cy="1932305"/>
                  <wp:effectExtent l="0" t="0" r="6350" b="10795"/>
                  <wp:wrapNone/>
                  <wp:docPr id="6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
                          <pic:cNvPicPr>
                            <a:picLocks noChangeAspect="1"/>
                          </pic:cNvPicPr>
                        </pic:nvPicPr>
                        <pic:blipFill>
                          <a:blip r:embed="rId15"/>
                          <a:stretch>
                            <a:fillRect/>
                          </a:stretch>
                        </pic:blipFill>
                        <pic:spPr>
                          <a:xfrm>
                            <a:off x="0" y="0"/>
                            <a:ext cx="1670050" cy="1932305"/>
                          </a:xfrm>
                          <a:prstGeom prst="rect">
                            <a:avLst/>
                          </a:prstGeom>
                          <a:noFill/>
                          <a:ln>
                            <a:noFill/>
                          </a:ln>
                        </pic:spPr>
                      </pic:pic>
                    </a:graphicData>
                  </a:graphic>
                </wp:anchor>
              </w:drawing>
            </w:r>
            <w:r>
              <w:rPr>
                <w:rFonts w:hint="eastAsia" w:ascii="宋体" w:hAnsi="宋体" w:eastAsia="宋体" w:cs="宋体"/>
                <w:sz w:val="21"/>
                <w:szCs w:val="21"/>
                <w:lang w:val="en-US" w:eastAsia="zh-CN"/>
              </w:rPr>
              <w:t>查《检定/检测/校准委托单》ANSL2021042900001，2021.4.29与陕西优普新材料科技有限公司签订委托单，对压力表进行检定.</w:t>
            </w:r>
          </w:p>
          <w:p>
            <w:pPr>
              <w:pStyle w:val="2"/>
              <w:tabs>
                <w:tab w:val="left" w:pos="0"/>
                <w:tab w:val="left" w:pos="180"/>
              </w:tabs>
              <w:rPr>
                <w:rFonts w:hint="eastAsia" w:ascii="宋体" w:hAnsi="宋体" w:eastAsia="宋体" w:cs="宋体"/>
                <w:sz w:val="21"/>
                <w:szCs w:val="21"/>
                <w:lang w:val="en-US" w:eastAsia="zh-CN"/>
              </w:rPr>
            </w:pPr>
            <w:r>
              <w:rPr>
                <w:rFonts w:hint="eastAsia" w:ascii="宋体" w:hAnsi="宋体" w:eastAsia="宋体" w:cs="宋体"/>
              </w:rPr>
              <w:drawing>
                <wp:anchor distT="0" distB="0" distL="114300" distR="114300" simplePos="0" relativeHeight="251671552" behindDoc="0" locked="0" layoutInCell="1" allowOverlap="1">
                  <wp:simplePos x="0" y="0"/>
                  <wp:positionH relativeFrom="column">
                    <wp:posOffset>215900</wp:posOffset>
                  </wp:positionH>
                  <wp:positionV relativeFrom="paragraph">
                    <wp:posOffset>80010</wp:posOffset>
                  </wp:positionV>
                  <wp:extent cx="2430780" cy="1633220"/>
                  <wp:effectExtent l="0" t="0" r="7620" b="5080"/>
                  <wp:wrapNone/>
                  <wp:docPr id="6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
                          <pic:cNvPicPr>
                            <a:picLocks noChangeAspect="1"/>
                          </pic:cNvPicPr>
                        </pic:nvPicPr>
                        <pic:blipFill>
                          <a:blip r:embed="rId16"/>
                          <a:stretch>
                            <a:fillRect/>
                          </a:stretch>
                        </pic:blipFill>
                        <pic:spPr>
                          <a:xfrm>
                            <a:off x="0" y="0"/>
                            <a:ext cx="2430780" cy="1633220"/>
                          </a:xfrm>
                          <a:prstGeom prst="rect">
                            <a:avLst/>
                          </a:prstGeom>
                          <a:noFill/>
                          <a:ln>
                            <a:noFill/>
                          </a:ln>
                        </pic:spPr>
                      </pic:pic>
                    </a:graphicData>
                  </a:graphic>
                </wp:anchor>
              </w:drawing>
            </w:r>
          </w:p>
          <w:p>
            <w:pPr>
              <w:pStyle w:val="2"/>
              <w:tabs>
                <w:tab w:val="left" w:pos="0"/>
                <w:tab w:val="left" w:pos="180"/>
              </w:tabs>
              <w:rPr>
                <w:rFonts w:hint="eastAsia" w:ascii="宋体" w:hAnsi="宋体" w:eastAsia="宋体" w:cs="宋体"/>
                <w:sz w:val="21"/>
                <w:szCs w:val="21"/>
                <w:lang w:val="en-US" w:eastAsia="zh-CN"/>
              </w:rPr>
            </w:pPr>
          </w:p>
          <w:p>
            <w:pPr>
              <w:pStyle w:val="2"/>
              <w:tabs>
                <w:tab w:val="left" w:pos="0"/>
                <w:tab w:val="left" w:pos="180"/>
              </w:tabs>
              <w:rPr>
                <w:rFonts w:hint="eastAsia" w:ascii="宋体" w:hAnsi="宋体" w:eastAsia="宋体" w:cs="宋体"/>
                <w:sz w:val="21"/>
                <w:szCs w:val="21"/>
                <w:lang w:val="en-US" w:eastAsia="zh-CN"/>
              </w:rPr>
            </w:pPr>
          </w:p>
          <w:p>
            <w:pPr>
              <w:pStyle w:val="2"/>
              <w:tabs>
                <w:tab w:val="left" w:pos="0"/>
                <w:tab w:val="left" w:pos="180"/>
              </w:tabs>
              <w:rPr>
                <w:rFonts w:hint="eastAsia" w:ascii="宋体" w:hAnsi="宋体" w:eastAsia="宋体" w:cs="宋体"/>
                <w:sz w:val="21"/>
                <w:szCs w:val="21"/>
                <w:lang w:val="en-US" w:eastAsia="zh-CN"/>
              </w:rPr>
            </w:pPr>
          </w:p>
          <w:p>
            <w:pPr>
              <w:pStyle w:val="2"/>
              <w:tabs>
                <w:tab w:val="left" w:pos="0"/>
                <w:tab w:val="left" w:pos="180"/>
              </w:tabs>
              <w:rPr>
                <w:rFonts w:hint="eastAsia" w:ascii="宋体" w:hAnsi="宋体" w:eastAsia="宋体" w:cs="宋体"/>
                <w:sz w:val="21"/>
                <w:szCs w:val="21"/>
                <w:lang w:val="en-US" w:eastAsia="zh-CN"/>
              </w:rPr>
            </w:pPr>
          </w:p>
          <w:p>
            <w:pPr>
              <w:pStyle w:val="2"/>
              <w:tabs>
                <w:tab w:val="left" w:pos="0"/>
                <w:tab w:val="left" w:pos="180"/>
              </w:tabs>
              <w:rPr>
                <w:rFonts w:hint="eastAsia" w:ascii="宋体" w:hAnsi="宋体" w:eastAsia="宋体" w:cs="宋体"/>
                <w:sz w:val="21"/>
                <w:szCs w:val="21"/>
                <w:lang w:val="en-US" w:eastAsia="zh-CN"/>
              </w:rPr>
            </w:pPr>
          </w:p>
          <w:p>
            <w:pPr>
              <w:pStyle w:val="4"/>
              <w:rPr>
                <w:rFonts w:hint="eastAsia" w:ascii="宋体" w:hAnsi="宋体" w:eastAsia="宋体" w:cs="宋体"/>
                <w:color w:val="auto"/>
                <w:lang w:val="en-US" w:eastAsia="zh-CN"/>
              </w:rPr>
            </w:pPr>
          </w:p>
          <w:p>
            <w:pPr>
              <w:autoSpaceDE w:val="0"/>
              <w:autoSpaceDN w:val="0"/>
              <w:adjustRightInd w:val="0"/>
              <w:snapToGrid w:val="0"/>
              <w:spacing w:line="360" w:lineRule="auto"/>
              <w:ind w:right="-6" w:rightChars="-3"/>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未能提供与顾客陕西步长制药有限公司签订关于计量设备技术服务合同的评审证据。</w:t>
            </w:r>
          </w:p>
          <w:p>
            <w:pPr>
              <w:autoSpaceDE w:val="0"/>
              <w:autoSpaceDN w:val="0"/>
              <w:adjustRightInd w:val="0"/>
              <w:snapToGrid w:val="0"/>
              <w:spacing w:line="360" w:lineRule="auto"/>
              <w:ind w:right="-6" w:rightChars="-3"/>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李耀宗经理介绍：目前尚未发生合同更改的情况，询问对更改情况的控制较为明确清楚。 </w:t>
            </w:r>
          </w:p>
          <w:p>
            <w:pPr>
              <w:autoSpaceDE w:val="0"/>
              <w:autoSpaceDN w:val="0"/>
              <w:adjustRightInd w:val="0"/>
              <w:snapToGrid w:val="0"/>
              <w:spacing w:line="360" w:lineRule="auto"/>
              <w:ind w:right="-6" w:rightChars="-3"/>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lang w:val="en-US" w:eastAsia="zh-CN"/>
              </w:rPr>
              <w:t>产品和服务要求的评审基本符合标准要求。</w:t>
            </w:r>
          </w:p>
        </w:tc>
        <w:tc>
          <w:tcPr>
            <w:tcW w:w="1585" w:type="dxa"/>
          </w:tcPr>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b/>
                <w:bCs/>
                <w:color w:val="auto"/>
                <w:lang w:val="en-US" w:eastAsia="zh-CN"/>
              </w:rPr>
            </w:pPr>
          </w:p>
          <w:p>
            <w:pPr>
              <w:pStyle w:val="4"/>
              <w:ind w:left="0" w:leftChars="0" w:firstLine="0" w:firstLineChars="0"/>
              <w:jc w:val="left"/>
              <w:rPr>
                <w:rFonts w:hint="eastAsia" w:ascii="宋体" w:hAnsi="宋体" w:eastAsia="宋体" w:cs="宋体"/>
                <w:b/>
                <w:bCs/>
                <w:color w:val="auto"/>
                <w:lang w:val="en-US" w:eastAsia="zh-CN"/>
              </w:rPr>
            </w:pPr>
          </w:p>
          <w:p>
            <w:pPr>
              <w:pStyle w:val="4"/>
              <w:ind w:left="0" w:leftChars="0" w:firstLine="0" w:firstLineChars="0"/>
              <w:jc w:val="left"/>
              <w:rPr>
                <w:rFonts w:hint="eastAsia" w:ascii="宋体" w:hAnsi="宋体" w:eastAsia="宋体" w:cs="宋体"/>
                <w:b/>
                <w:bCs/>
                <w:color w:val="auto"/>
                <w:lang w:val="en-US" w:eastAsia="zh-CN"/>
              </w:rPr>
            </w:pPr>
          </w:p>
          <w:p>
            <w:pPr>
              <w:pStyle w:val="4"/>
              <w:ind w:left="0" w:leftChars="0" w:firstLine="0" w:firstLineChars="0"/>
              <w:jc w:val="left"/>
              <w:rPr>
                <w:rFonts w:hint="eastAsia" w:ascii="宋体" w:hAnsi="宋体" w:eastAsia="宋体" w:cs="宋体"/>
                <w:b/>
                <w:bCs/>
                <w:color w:val="auto"/>
                <w:lang w:val="en-US" w:eastAsia="zh-CN"/>
              </w:rPr>
            </w:pPr>
          </w:p>
          <w:p>
            <w:pPr>
              <w:pStyle w:val="4"/>
              <w:ind w:left="0" w:leftChars="0" w:firstLine="0" w:firstLineChars="0"/>
              <w:jc w:val="left"/>
              <w:rPr>
                <w:rFonts w:hint="eastAsia" w:ascii="宋体" w:hAnsi="宋体" w:eastAsia="宋体" w:cs="宋体"/>
                <w:b/>
                <w:bCs/>
                <w:color w:val="auto"/>
                <w:lang w:val="en-US" w:eastAsia="zh-CN"/>
              </w:rPr>
            </w:pPr>
          </w:p>
          <w:p>
            <w:pPr>
              <w:pStyle w:val="4"/>
              <w:ind w:left="0" w:leftChars="0" w:firstLine="0" w:firstLineChars="0"/>
              <w:jc w:val="left"/>
              <w:rPr>
                <w:rFonts w:hint="eastAsia" w:ascii="宋体" w:hAnsi="宋体" w:eastAsia="宋体" w:cs="宋体"/>
                <w:b/>
                <w:bCs/>
                <w:color w:val="auto"/>
                <w:lang w:val="en-US" w:eastAsia="zh-CN"/>
              </w:rPr>
            </w:pPr>
          </w:p>
          <w:p>
            <w:pPr>
              <w:pStyle w:val="4"/>
              <w:ind w:left="0" w:leftChars="0" w:firstLine="0" w:firstLineChars="0"/>
              <w:jc w:val="left"/>
              <w:rPr>
                <w:rFonts w:hint="eastAsia" w:ascii="宋体" w:hAnsi="宋体" w:eastAsia="宋体" w:cs="宋体"/>
                <w:b/>
                <w:bCs/>
                <w:color w:val="auto"/>
                <w:lang w:val="en-US" w:eastAsia="zh-CN"/>
              </w:rPr>
            </w:pPr>
          </w:p>
          <w:p>
            <w:pPr>
              <w:pStyle w:val="4"/>
              <w:ind w:left="0" w:leftChars="0" w:firstLine="0" w:firstLineChars="0"/>
              <w:jc w:val="left"/>
              <w:rPr>
                <w:rFonts w:hint="eastAsia" w:ascii="宋体" w:hAnsi="宋体" w:eastAsia="宋体" w:cs="宋体"/>
                <w:b/>
                <w:bCs/>
                <w:color w:val="auto"/>
                <w:lang w:val="en-US" w:eastAsia="zh-CN"/>
              </w:rPr>
            </w:pPr>
          </w:p>
          <w:p>
            <w:pPr>
              <w:pStyle w:val="4"/>
              <w:ind w:left="0" w:leftChars="0" w:firstLine="0" w:firstLineChars="0"/>
              <w:jc w:val="left"/>
              <w:rPr>
                <w:rFonts w:hint="eastAsia" w:ascii="宋体" w:hAnsi="宋体" w:eastAsia="宋体" w:cs="宋体"/>
                <w:b/>
                <w:bCs/>
                <w:color w:val="auto"/>
                <w:lang w:val="en-US" w:eastAsia="zh-CN"/>
              </w:rPr>
            </w:pPr>
          </w:p>
          <w:p>
            <w:pPr>
              <w:pStyle w:val="4"/>
              <w:ind w:left="0" w:leftChars="0" w:firstLine="0" w:firstLineChars="0"/>
              <w:jc w:val="left"/>
              <w:rPr>
                <w:rFonts w:hint="eastAsia" w:ascii="宋体" w:hAnsi="宋体" w:eastAsia="宋体" w:cs="宋体"/>
                <w:b/>
                <w:bCs/>
                <w:color w:val="auto"/>
                <w:lang w:val="en-US" w:eastAsia="zh-CN"/>
              </w:rPr>
            </w:pPr>
          </w:p>
          <w:p>
            <w:pPr>
              <w:pStyle w:val="4"/>
              <w:ind w:left="0" w:leftChars="0" w:firstLine="0" w:firstLineChars="0"/>
              <w:jc w:val="left"/>
              <w:rPr>
                <w:rFonts w:hint="eastAsia" w:ascii="宋体" w:hAnsi="宋体" w:eastAsia="宋体" w:cs="宋体"/>
                <w:b/>
                <w:bCs/>
                <w:color w:val="auto"/>
                <w:lang w:val="en-US" w:eastAsia="zh-CN"/>
              </w:rPr>
            </w:pPr>
          </w:p>
          <w:p>
            <w:pPr>
              <w:pStyle w:val="4"/>
              <w:ind w:left="0" w:leftChars="0" w:firstLine="0" w:firstLineChars="0"/>
              <w:jc w:val="left"/>
              <w:rPr>
                <w:rFonts w:hint="eastAsia" w:ascii="宋体" w:hAnsi="宋体" w:eastAsia="宋体" w:cs="宋体"/>
                <w:b/>
                <w:bCs/>
                <w:color w:val="auto"/>
                <w:lang w:val="en-US" w:eastAsia="zh-CN"/>
              </w:rPr>
            </w:pPr>
          </w:p>
          <w:p>
            <w:pPr>
              <w:pStyle w:val="4"/>
              <w:ind w:left="0" w:leftChars="0" w:firstLine="0" w:firstLineChars="0"/>
              <w:jc w:val="left"/>
              <w:rPr>
                <w:rFonts w:hint="eastAsia" w:ascii="宋体" w:hAnsi="宋体" w:eastAsia="宋体" w:cs="宋体"/>
                <w:b/>
                <w:bCs/>
                <w:color w:val="auto"/>
                <w:lang w:val="en-US" w:eastAsia="zh-CN"/>
              </w:rPr>
            </w:pPr>
          </w:p>
          <w:p>
            <w:pPr>
              <w:pStyle w:val="4"/>
              <w:ind w:left="0" w:leftChars="0" w:firstLine="0" w:firstLineChars="0"/>
              <w:jc w:val="left"/>
              <w:rPr>
                <w:rFonts w:hint="eastAsia" w:ascii="宋体" w:hAnsi="宋体" w:eastAsia="宋体" w:cs="宋体"/>
                <w:b/>
                <w:bCs/>
                <w:color w:val="auto"/>
                <w:lang w:val="en-US" w:eastAsia="zh-CN"/>
              </w:rPr>
            </w:pPr>
          </w:p>
          <w:p>
            <w:pPr>
              <w:pStyle w:val="4"/>
              <w:ind w:left="0" w:leftChars="0" w:firstLine="0" w:firstLineChars="0"/>
              <w:jc w:val="left"/>
              <w:rPr>
                <w:rFonts w:hint="eastAsia" w:ascii="宋体" w:hAnsi="宋体" w:eastAsia="宋体" w:cs="宋体"/>
                <w:b/>
                <w:bCs/>
                <w:color w:val="auto"/>
                <w:lang w:val="en-US" w:eastAsia="zh-CN"/>
              </w:rPr>
            </w:pPr>
          </w:p>
          <w:p>
            <w:pPr>
              <w:pStyle w:val="4"/>
              <w:ind w:left="0" w:leftChars="0" w:firstLine="0" w:firstLineChars="0"/>
              <w:jc w:val="left"/>
              <w:rPr>
                <w:rFonts w:hint="eastAsia" w:ascii="宋体" w:hAnsi="宋体" w:eastAsia="宋体" w:cs="宋体"/>
                <w:b/>
                <w:bCs/>
                <w:color w:val="auto"/>
                <w:lang w:val="en-US" w:eastAsia="zh-CN"/>
              </w:rPr>
            </w:pPr>
          </w:p>
          <w:p>
            <w:pPr>
              <w:pStyle w:val="4"/>
              <w:ind w:left="0" w:leftChars="0" w:firstLine="0" w:firstLineChars="0"/>
              <w:jc w:val="left"/>
              <w:rPr>
                <w:rFonts w:hint="eastAsia" w:ascii="宋体" w:hAnsi="宋体" w:eastAsia="宋体" w:cs="宋体"/>
                <w:b/>
                <w:bCs/>
                <w:color w:val="auto"/>
                <w:lang w:val="en-US" w:eastAsia="zh-CN"/>
              </w:rPr>
            </w:pPr>
          </w:p>
          <w:p>
            <w:pPr>
              <w:pStyle w:val="4"/>
              <w:ind w:left="0" w:leftChars="0" w:firstLine="0" w:firstLineChars="0"/>
              <w:jc w:val="left"/>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N</w:t>
            </w:r>
          </w:p>
          <w:p>
            <w:pPr>
              <w:pStyle w:val="4"/>
              <w:ind w:left="0" w:leftChars="0" w:firstLine="0" w:firstLineChars="0"/>
              <w:jc w:val="left"/>
              <w:rPr>
                <w:rFonts w:hint="eastAsia" w:ascii="宋体" w:hAnsi="宋体" w:eastAsia="宋体" w:cs="宋体"/>
                <w:color w:val="FF0000"/>
                <w:lang w:val="en-US" w:eastAsia="zh-CN"/>
              </w:rPr>
            </w:pPr>
          </w:p>
          <w:p>
            <w:pPr>
              <w:pStyle w:val="4"/>
              <w:ind w:left="0" w:leftChars="0" w:firstLine="0" w:firstLineChars="0"/>
              <w:jc w:val="left"/>
              <w:rPr>
                <w:rFonts w:hint="eastAsia" w:ascii="宋体" w:hAnsi="宋体" w:eastAsia="宋体" w:cs="宋体"/>
                <w:color w:val="FF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与产品有关要求的更改</w:t>
            </w:r>
          </w:p>
        </w:tc>
        <w:tc>
          <w:tcPr>
            <w:tcW w:w="960" w:type="dxa"/>
            <w:vAlign w:val="top"/>
          </w:tcPr>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Q8.2.4 </w:t>
            </w:r>
          </w:p>
        </w:tc>
        <w:tc>
          <w:tcPr>
            <w:tcW w:w="10004" w:type="dxa"/>
            <w:vAlign w:val="top"/>
          </w:tcPr>
          <w:p>
            <w:pPr>
              <w:spacing w:line="360" w:lineRule="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管理手册对产品和服务要求的识别和更改进行了策划和规定；</w:t>
            </w:r>
          </w:p>
          <w:p>
            <w:pPr>
              <w:spacing w:line="360" w:lineRule="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   经过查阅企业订单文件，并与业务开发部负责人进行沟通，目前暂无产品和订单变更的情况；后续经营中，如出现有产品和订单要求的变更，将按照文件规定要求进行控制。</w:t>
            </w:r>
          </w:p>
          <w:p>
            <w:pPr>
              <w:spacing w:line="360" w:lineRule="auto"/>
              <w:rPr>
                <w:rFonts w:hint="eastAsia" w:ascii="宋体" w:hAnsi="宋体" w:eastAsia="宋体" w:cs="宋体"/>
                <w:color w:val="FF0000"/>
                <w:kern w:val="2"/>
                <w:sz w:val="21"/>
                <w:szCs w:val="21"/>
                <w:lang w:val="en-US" w:eastAsia="zh-CN" w:bidi="ar-SA"/>
              </w:rPr>
            </w:pPr>
            <w:r>
              <w:rPr>
                <w:rFonts w:hint="eastAsia" w:ascii="宋体" w:hAnsi="宋体" w:eastAsia="宋体" w:cs="宋体"/>
                <w:color w:val="000000"/>
                <w:sz w:val="21"/>
                <w:szCs w:val="21"/>
                <w:lang w:val="en-US" w:eastAsia="zh-CN"/>
              </w:rPr>
              <w:t>基本符合要求。</w:t>
            </w:r>
          </w:p>
        </w:tc>
        <w:tc>
          <w:tcPr>
            <w:tcW w:w="1585" w:type="dxa"/>
          </w:tcPr>
          <w:p>
            <w:pPr>
              <w:pStyle w:val="4"/>
              <w:ind w:left="0" w:leftChars="0" w:firstLine="0" w:firstLineChars="0"/>
              <w:jc w:val="left"/>
              <w:rPr>
                <w:rFonts w:hint="eastAsia" w:ascii="宋体" w:hAnsi="宋体" w:eastAsia="宋体" w:cs="宋体"/>
                <w:color w:val="FF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top"/>
          </w:tcPr>
          <w:p>
            <w:pPr>
              <w:rPr>
                <w:rFonts w:hint="eastAsia" w:ascii="宋体" w:hAnsi="宋体" w:eastAsia="宋体" w:cs="宋体"/>
                <w:color w:val="auto"/>
                <w:kern w:val="2"/>
                <w:sz w:val="21"/>
                <w:lang w:val="en-US" w:eastAsia="zh-CN" w:bidi="ar-SA"/>
              </w:rPr>
            </w:pPr>
            <w:r>
              <w:rPr>
                <w:rFonts w:hint="eastAsia" w:ascii="宋体" w:hAnsi="宋体" w:eastAsia="宋体" w:cs="宋体"/>
                <w:color w:val="auto"/>
              </w:rPr>
              <w:t>外部提供过程、产品和服务过程管理</w:t>
            </w:r>
          </w:p>
        </w:tc>
        <w:tc>
          <w:tcPr>
            <w:tcW w:w="960" w:type="dxa"/>
            <w:vAlign w:val="top"/>
          </w:tcPr>
          <w:p>
            <w:pPr>
              <w:rPr>
                <w:rFonts w:hint="eastAsia" w:ascii="宋体" w:hAnsi="宋体" w:eastAsia="宋体" w:cs="宋体"/>
                <w:color w:val="auto"/>
                <w:kern w:val="2"/>
                <w:sz w:val="21"/>
                <w:lang w:val="en-US" w:eastAsia="zh-CN" w:bidi="ar-SA"/>
              </w:rPr>
            </w:pPr>
            <w:r>
              <w:rPr>
                <w:rFonts w:hint="eastAsia" w:ascii="宋体" w:hAnsi="宋体" w:eastAsia="宋体" w:cs="宋体"/>
                <w:color w:val="auto"/>
              </w:rPr>
              <w:t>8.4</w:t>
            </w:r>
          </w:p>
        </w:tc>
        <w:tc>
          <w:tcPr>
            <w:tcW w:w="10004" w:type="dxa"/>
            <w:vAlign w:val="center"/>
          </w:tcPr>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外部提供的服务主要是公司计量标准器、和配套设备的溯源，</w:t>
            </w:r>
            <w:r>
              <w:rPr>
                <w:rFonts w:hint="eastAsia" w:ascii="宋体" w:hAnsi="宋体" w:eastAsia="宋体" w:cs="宋体"/>
                <w:color w:val="auto"/>
                <w:sz w:val="21"/>
                <w:szCs w:val="21"/>
              </w:rPr>
              <w:t>公司采购产品主要为</w:t>
            </w:r>
            <w:r>
              <w:rPr>
                <w:rFonts w:hint="eastAsia" w:ascii="宋体" w:hAnsi="宋体" w:eastAsia="宋体" w:cs="宋体"/>
                <w:color w:val="auto"/>
                <w:sz w:val="21"/>
                <w:szCs w:val="21"/>
                <w:lang w:val="en-US" w:eastAsia="zh-CN"/>
              </w:rPr>
              <w:t>计量配套设备</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标准物质、酒精、润滑油、手套、棉纱</w:t>
            </w:r>
            <w:r>
              <w:rPr>
                <w:rFonts w:hint="eastAsia" w:ascii="宋体" w:hAnsi="宋体" w:eastAsia="宋体" w:cs="宋体"/>
                <w:color w:val="auto"/>
                <w:sz w:val="21"/>
                <w:szCs w:val="21"/>
              </w:rPr>
              <w:t>等，暂无外包过程。</w:t>
            </w:r>
          </w:p>
          <w:p>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4"/>
                <w:szCs w:val="24"/>
                <w:lang w:val="en-US" w:eastAsia="zh-CN"/>
              </w:rPr>
              <w:drawing>
                <wp:anchor distT="0" distB="0" distL="114300" distR="114300" simplePos="0" relativeHeight="251661312" behindDoc="0" locked="0" layoutInCell="1" allowOverlap="1">
                  <wp:simplePos x="0" y="0"/>
                  <wp:positionH relativeFrom="column">
                    <wp:posOffset>2261235</wp:posOffset>
                  </wp:positionH>
                  <wp:positionV relativeFrom="paragraph">
                    <wp:posOffset>709930</wp:posOffset>
                  </wp:positionV>
                  <wp:extent cx="3237230" cy="1964690"/>
                  <wp:effectExtent l="0" t="0" r="1270" b="3810"/>
                  <wp:wrapNone/>
                  <wp:docPr id="53" name="图片 53" descr="894402107a6a13eeeb1f2c8b82d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894402107a6a13eeeb1f2c8b82d6286"/>
                          <pic:cNvPicPr>
                            <a:picLocks noChangeAspect="1"/>
                          </pic:cNvPicPr>
                        </pic:nvPicPr>
                        <pic:blipFill>
                          <a:blip r:embed="rId17"/>
                          <a:stretch>
                            <a:fillRect/>
                          </a:stretch>
                        </pic:blipFill>
                        <pic:spPr>
                          <a:xfrm>
                            <a:off x="0" y="0"/>
                            <a:ext cx="3237230" cy="1964690"/>
                          </a:xfrm>
                          <a:prstGeom prst="rect">
                            <a:avLst/>
                          </a:prstGeom>
                        </pic:spPr>
                      </pic:pic>
                    </a:graphicData>
                  </a:graphic>
                </wp:anchor>
              </w:drawing>
            </w:r>
            <w:r>
              <w:rPr>
                <w:rFonts w:hint="eastAsia" w:ascii="宋体" w:hAnsi="宋体" w:eastAsia="宋体" w:cs="宋体"/>
                <w:color w:val="auto"/>
                <w:sz w:val="21"/>
                <w:szCs w:val="21"/>
              </w:rPr>
              <w:t>查到到《合格供方名录》，主要有</w:t>
            </w:r>
            <w:r>
              <w:rPr>
                <w:rFonts w:hint="eastAsia" w:ascii="宋体" w:hAnsi="宋体" w:eastAsia="宋体" w:cs="宋体"/>
                <w:color w:val="auto"/>
                <w:sz w:val="21"/>
                <w:szCs w:val="21"/>
                <w:lang w:eastAsia="zh-CN"/>
              </w:rPr>
              <w:t>国家计量科学研究院</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国家测试技术研究所</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成都博远</w:t>
            </w:r>
            <w:r>
              <w:rPr>
                <w:rFonts w:hint="eastAsia" w:ascii="宋体" w:hAnsi="宋体" w:eastAsia="宋体" w:cs="宋体"/>
                <w:color w:val="auto"/>
                <w:sz w:val="21"/>
                <w:szCs w:val="21"/>
                <w:lang w:val="en-US" w:eastAsia="zh-CN"/>
              </w:rPr>
              <w:t>新</w:t>
            </w:r>
            <w:r>
              <w:rPr>
                <w:rFonts w:hint="eastAsia" w:ascii="宋体" w:hAnsi="宋体" w:eastAsia="宋体" w:cs="宋体"/>
                <w:color w:val="auto"/>
                <w:sz w:val="21"/>
                <w:szCs w:val="21"/>
                <w:lang w:eastAsia="zh-CN"/>
              </w:rPr>
              <w:t>锐科技有限责任公司</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山东非金属材料研究所、陕西省计量科学研究院、中国航天动力股份有限公司计量中心</w:t>
            </w:r>
            <w:r>
              <w:rPr>
                <w:rFonts w:hint="eastAsia" w:ascii="宋体" w:hAnsi="宋体" w:eastAsia="宋体" w:cs="宋体"/>
                <w:color w:val="auto"/>
                <w:sz w:val="21"/>
                <w:szCs w:val="21"/>
              </w:rPr>
              <w:t>等。编制：</w:t>
            </w:r>
            <w:r>
              <w:rPr>
                <w:rFonts w:hint="eastAsia" w:ascii="宋体" w:hAnsi="宋体" w:eastAsia="宋体" w:cs="宋体"/>
                <w:color w:val="auto"/>
                <w:sz w:val="21"/>
                <w:szCs w:val="21"/>
                <w:lang w:val="en-US" w:eastAsia="zh-CN"/>
              </w:rPr>
              <w:t>李楠</w:t>
            </w:r>
            <w:r>
              <w:rPr>
                <w:rFonts w:hint="eastAsia" w:ascii="宋体" w:hAnsi="宋体" w:eastAsia="宋体" w:cs="宋体"/>
                <w:color w:val="auto"/>
                <w:sz w:val="21"/>
                <w:szCs w:val="21"/>
              </w:rPr>
              <w:t>，审批：</w:t>
            </w:r>
            <w:r>
              <w:rPr>
                <w:rFonts w:hint="eastAsia" w:ascii="宋体" w:hAnsi="宋体" w:eastAsia="宋体" w:cs="宋体"/>
                <w:color w:val="auto"/>
                <w:sz w:val="21"/>
                <w:szCs w:val="21"/>
                <w:lang w:val="en-US" w:eastAsia="zh-CN"/>
              </w:rPr>
              <w:t>周东福</w:t>
            </w:r>
            <w:r>
              <w:rPr>
                <w:rFonts w:hint="eastAsia" w:ascii="宋体" w:hAnsi="宋体" w:eastAsia="宋体" w:cs="宋体"/>
                <w:color w:val="auto"/>
                <w:sz w:val="21"/>
                <w:szCs w:val="21"/>
              </w:rPr>
              <w:t xml:space="preserve">。  </w:t>
            </w:r>
          </w:p>
          <w:p>
            <w:pPr>
              <w:spacing w:line="36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提供《合格服务和供应商名册》</w:t>
            </w:r>
          </w:p>
          <w:p>
            <w:pPr>
              <w:pStyle w:val="3"/>
              <w:tabs>
                <w:tab w:val="left" w:pos="3510"/>
                <w:tab w:val="left" w:pos="3585"/>
                <w:tab w:val="center" w:pos="4410"/>
                <w:tab w:val="left" w:pos="4620"/>
                <w:tab w:val="left" w:pos="4830"/>
                <w:tab w:val="left" w:pos="5580"/>
              </w:tabs>
              <w:rPr>
                <w:rFonts w:hint="eastAsia" w:ascii="宋体" w:hAnsi="宋体" w:eastAsia="宋体" w:cs="宋体"/>
                <w:color w:val="auto"/>
                <w:sz w:val="24"/>
                <w:szCs w:val="24"/>
                <w:lang w:val="en-US" w:eastAsia="zh-CN"/>
              </w:rPr>
            </w:pPr>
          </w:p>
          <w:p>
            <w:pPr>
              <w:pStyle w:val="4"/>
              <w:rPr>
                <w:rFonts w:hint="eastAsia" w:ascii="宋体" w:hAnsi="宋体" w:eastAsia="宋体" w:cs="宋体"/>
                <w:color w:val="auto"/>
                <w:sz w:val="24"/>
                <w:szCs w:val="24"/>
                <w:lang w:val="en-US" w:eastAsia="zh-CN"/>
              </w:rPr>
            </w:pPr>
          </w:p>
          <w:p>
            <w:pPr>
              <w:pStyle w:val="4"/>
              <w:rPr>
                <w:rFonts w:hint="eastAsia" w:ascii="宋体" w:hAnsi="宋体" w:eastAsia="宋体" w:cs="宋体"/>
                <w:color w:val="auto"/>
                <w:sz w:val="24"/>
                <w:szCs w:val="24"/>
                <w:lang w:val="en-US" w:eastAsia="zh-CN"/>
              </w:rPr>
            </w:pPr>
          </w:p>
          <w:p>
            <w:pPr>
              <w:pStyle w:val="4"/>
              <w:rPr>
                <w:rFonts w:hint="eastAsia" w:ascii="宋体" w:hAnsi="宋体" w:eastAsia="宋体" w:cs="宋体"/>
                <w:color w:val="auto"/>
                <w:sz w:val="24"/>
                <w:szCs w:val="24"/>
                <w:lang w:val="en-US" w:eastAsia="zh-CN"/>
              </w:rPr>
            </w:pPr>
          </w:p>
          <w:p>
            <w:pPr>
              <w:pStyle w:val="4"/>
              <w:rPr>
                <w:rFonts w:hint="eastAsia" w:ascii="宋体" w:hAnsi="宋体" w:eastAsia="宋体" w:cs="宋体"/>
                <w:color w:val="auto"/>
                <w:sz w:val="24"/>
                <w:szCs w:val="24"/>
                <w:lang w:val="en-US" w:eastAsia="zh-CN"/>
              </w:rPr>
            </w:pPr>
          </w:p>
          <w:p>
            <w:pPr>
              <w:pStyle w:val="4"/>
              <w:rPr>
                <w:rFonts w:hint="eastAsia" w:ascii="宋体" w:hAnsi="宋体" w:eastAsia="宋体" w:cs="宋体"/>
                <w:color w:val="auto"/>
                <w:sz w:val="24"/>
                <w:szCs w:val="24"/>
                <w:lang w:val="en-US" w:eastAsia="zh-CN"/>
              </w:rPr>
            </w:pPr>
          </w:p>
          <w:p>
            <w:pPr>
              <w:pStyle w:val="4"/>
              <w:rPr>
                <w:rFonts w:hint="eastAsia" w:ascii="宋体" w:hAnsi="宋体" w:eastAsia="宋体" w:cs="宋体"/>
                <w:color w:val="auto"/>
                <w:sz w:val="24"/>
                <w:szCs w:val="24"/>
                <w:lang w:val="en-US" w:eastAsia="zh-CN"/>
              </w:rPr>
            </w:pPr>
          </w:p>
          <w:p>
            <w:pPr>
              <w:spacing w:line="360" w:lineRule="auto"/>
              <w:rPr>
                <w:rFonts w:hint="eastAsia" w:ascii="宋体" w:hAnsi="宋体" w:eastAsia="宋体" w:cs="宋体"/>
                <w:color w:val="auto"/>
                <w:kern w:val="2"/>
                <w:sz w:val="21"/>
                <w:lang w:val="en-US" w:eastAsia="zh-CN" w:bidi="ar-SA"/>
              </w:rPr>
            </w:pPr>
            <w:r>
              <w:rPr>
                <w:rFonts w:hint="eastAsia" w:ascii="宋体" w:hAnsi="宋体" w:eastAsia="宋体" w:cs="宋体"/>
                <w:color w:val="auto"/>
                <w:sz w:val="21"/>
                <w:szCs w:val="21"/>
              </w:rPr>
              <w:t>抽查</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服务和供应商评价表</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对服务供应商的资质、参数覆盖范围、量传能力等方面进行评定，</w:t>
            </w:r>
            <w:r>
              <w:rPr>
                <w:rFonts w:hint="eastAsia" w:ascii="宋体" w:hAnsi="宋体" w:eastAsia="宋体" w:cs="宋体"/>
                <w:color w:val="auto"/>
                <w:sz w:val="21"/>
                <w:szCs w:val="21"/>
              </w:rPr>
              <w:t>外部提供服务的控制</w:t>
            </w:r>
            <w:r>
              <w:rPr>
                <w:rFonts w:hint="eastAsia" w:ascii="宋体" w:hAnsi="宋体" w:eastAsia="宋体" w:cs="宋体"/>
                <w:color w:val="auto"/>
                <w:sz w:val="21"/>
                <w:szCs w:val="21"/>
                <w:lang w:val="en-US" w:eastAsia="zh-CN"/>
              </w:rPr>
              <w:t>有效。</w:t>
            </w:r>
          </w:p>
        </w:tc>
        <w:tc>
          <w:tcPr>
            <w:tcW w:w="1585" w:type="dxa"/>
          </w:tcPr>
          <w:p>
            <w:pPr>
              <w:pStyle w:val="4"/>
              <w:ind w:left="0" w:leftChars="0" w:firstLine="0" w:firstLineChars="0"/>
              <w:jc w:val="left"/>
              <w:rPr>
                <w:rFonts w:hint="eastAsia" w:ascii="宋体" w:hAnsi="宋体" w:eastAsia="宋体" w:cs="宋体"/>
                <w:color w:val="FF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top"/>
          </w:tcPr>
          <w:p>
            <w:pPr>
              <w:rPr>
                <w:rFonts w:hint="eastAsia" w:ascii="宋体" w:hAnsi="宋体" w:eastAsia="宋体" w:cs="宋体"/>
                <w:bCs/>
                <w:kern w:val="2"/>
                <w:sz w:val="21"/>
                <w:szCs w:val="21"/>
                <w:highlight w:val="none"/>
                <w:lang w:val="en-US" w:eastAsia="zh-CN" w:bidi="ar-SA"/>
              </w:rPr>
            </w:pPr>
            <w:r>
              <w:rPr>
                <w:rFonts w:hint="eastAsia" w:ascii="宋体" w:hAnsi="宋体" w:eastAsia="宋体" w:cs="宋体"/>
                <w:sz w:val="21"/>
                <w:szCs w:val="21"/>
                <w:highlight w:val="none"/>
                <w:lang w:val="en-US" w:eastAsia="zh-CN"/>
              </w:rPr>
              <w:t>环境因素识别，危险源辨识、风险评估及控制措施</w:t>
            </w:r>
          </w:p>
        </w:tc>
        <w:tc>
          <w:tcPr>
            <w:tcW w:w="960" w:type="dxa"/>
            <w:vAlign w:val="top"/>
          </w:tcPr>
          <w:p>
            <w:pPr>
              <w:rPr>
                <w:rFonts w:hint="eastAsia" w:ascii="宋体" w:hAnsi="宋体" w:eastAsia="宋体" w:cs="宋体"/>
                <w:bCs/>
                <w:kern w:val="2"/>
                <w:sz w:val="21"/>
                <w:szCs w:val="21"/>
                <w:highlight w:val="none"/>
                <w:lang w:val="en-US" w:eastAsia="zh-CN" w:bidi="ar-SA"/>
              </w:rPr>
            </w:pPr>
            <w:r>
              <w:rPr>
                <w:rFonts w:hint="eastAsia" w:ascii="宋体" w:hAnsi="宋体" w:eastAsia="宋体" w:cs="宋体"/>
                <w:sz w:val="21"/>
                <w:szCs w:val="21"/>
                <w:highlight w:val="none"/>
                <w:lang w:val="en-US" w:eastAsia="zh-CN"/>
              </w:rPr>
              <w:t>EO:6.1.2/6.1.4</w:t>
            </w:r>
          </w:p>
        </w:tc>
        <w:tc>
          <w:tcPr>
            <w:tcW w:w="10004" w:type="dxa"/>
            <w:vAlign w:val="center"/>
          </w:tcPr>
          <w:p>
            <w:pPr>
              <w:snapToGrid w:val="0"/>
              <w:spacing w:line="360" w:lineRule="auto"/>
              <w:rPr>
                <w:rFonts w:hint="eastAsia" w:ascii="宋体" w:hAnsi="宋体" w:eastAsia="宋体" w:cs="宋体"/>
                <w:color w:val="000000"/>
                <w:sz w:val="21"/>
                <w:szCs w:val="21"/>
                <w:lang w:eastAsia="zh-CN"/>
              </w:rPr>
            </w:pPr>
            <w:r>
              <w:rPr>
                <w:rFonts w:hint="eastAsia" w:ascii="宋体" w:hAnsi="宋体" w:eastAsia="宋体" w:cs="宋体"/>
                <w:sz w:val="21"/>
                <w:szCs w:val="21"/>
              </w:rPr>
              <w:t>公司编制了</w:t>
            </w:r>
            <w:r>
              <w:rPr>
                <w:rFonts w:hint="eastAsia" w:ascii="宋体" w:hAnsi="宋体" w:eastAsia="宋体" w:cs="宋体"/>
                <w:color w:val="000000"/>
                <w:sz w:val="21"/>
                <w:szCs w:val="21"/>
              </w:rPr>
              <w:t>《环境因素识别与评价控制程序》</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《危险源辨识和风险评价控制程序》。</w:t>
            </w:r>
          </w:p>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查</w:t>
            </w:r>
            <w:r>
              <w:rPr>
                <w:rFonts w:hint="eastAsia" w:ascii="宋体" w:hAnsi="宋体" w:eastAsia="宋体" w:cs="宋体"/>
                <w:color w:val="000000"/>
                <w:sz w:val="21"/>
                <w:szCs w:val="21"/>
                <w:lang w:val="en-US" w:eastAsia="zh-CN"/>
              </w:rPr>
              <w:t>市场开发部</w:t>
            </w:r>
            <w:r>
              <w:rPr>
                <w:rFonts w:hint="eastAsia" w:ascii="宋体" w:hAnsi="宋体" w:eastAsia="宋体" w:cs="宋体"/>
                <w:color w:val="000000"/>
                <w:sz w:val="21"/>
                <w:szCs w:val="21"/>
              </w:rPr>
              <w:t>的《环境因素识别评价表》，识别了本部门在办公、采购、销售、相关方等各有关过程的环境因素，包括水电消耗、办公纸张消耗、车辆尾气排放、废包装物排放等环境因素，能考虑生命周期观点。</w:t>
            </w:r>
          </w:p>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查《危险源辨识及风险评价表》，识别了电脑辐射、触电、</w:t>
            </w:r>
            <w:r>
              <w:rPr>
                <w:rFonts w:hint="eastAsia" w:ascii="宋体" w:hAnsi="宋体" w:eastAsia="宋体" w:cs="宋体"/>
                <w:sz w:val="21"/>
                <w:szCs w:val="21"/>
              </w:rPr>
              <w:t>运输汽车事故</w:t>
            </w:r>
            <w:r>
              <w:rPr>
                <w:rFonts w:hint="eastAsia" w:ascii="宋体" w:hAnsi="宋体" w:eastAsia="宋体" w:cs="宋体"/>
                <w:color w:val="000000"/>
                <w:sz w:val="21"/>
                <w:szCs w:val="21"/>
              </w:rPr>
              <w:t>等危险源</w:t>
            </w:r>
          </w:p>
          <w:p>
            <w:pPr>
              <w:spacing w:line="360" w:lineRule="auto"/>
              <w:rPr>
                <w:rFonts w:hint="eastAsia" w:ascii="宋体" w:hAnsi="宋体" w:eastAsia="宋体" w:cs="宋体"/>
                <w:sz w:val="21"/>
                <w:szCs w:val="21"/>
              </w:rPr>
            </w:pPr>
            <w:r>
              <w:rPr>
                <w:rFonts w:hint="eastAsia" w:ascii="宋体" w:hAnsi="宋体" w:eastAsia="宋体" w:cs="宋体"/>
                <w:sz w:val="21"/>
                <w:szCs w:val="21"/>
              </w:rPr>
              <w:t>查《重要环境因素清单》，涉及本部门有2项重要环境因素，包括：固体废弃物的排放、火灾。</w:t>
            </w:r>
          </w:p>
          <w:p>
            <w:pPr>
              <w:spacing w:line="360" w:lineRule="auto"/>
              <w:rPr>
                <w:rFonts w:hint="eastAsia" w:ascii="宋体" w:hAnsi="宋体" w:eastAsia="宋体" w:cs="宋体"/>
                <w:color w:val="000000"/>
                <w:sz w:val="21"/>
                <w:szCs w:val="21"/>
              </w:rPr>
            </w:pPr>
            <w:r>
              <w:rPr>
                <w:rFonts w:hint="eastAsia" w:ascii="宋体" w:hAnsi="宋体" w:eastAsia="宋体" w:cs="宋体"/>
                <w:sz w:val="21"/>
                <w:szCs w:val="21"/>
              </w:rPr>
              <w:t>控制措施：固废分类存放、垃圾等由</w:t>
            </w:r>
            <w:r>
              <w:rPr>
                <w:rFonts w:hint="eastAsia" w:ascii="宋体" w:hAnsi="宋体" w:eastAsia="宋体" w:cs="宋体"/>
                <w:sz w:val="21"/>
                <w:szCs w:val="21"/>
                <w:lang w:val="en-US" w:eastAsia="zh-CN"/>
              </w:rPr>
              <w:t>综合</w:t>
            </w:r>
            <w:r>
              <w:rPr>
                <w:rFonts w:hint="eastAsia" w:ascii="宋体" w:hAnsi="宋体" w:eastAsia="宋体" w:cs="宋体"/>
                <w:sz w:val="21"/>
                <w:szCs w:val="21"/>
              </w:rPr>
              <w:t>办公室负责按规定处置，包装物分类卖掉，培训教育，配备</w:t>
            </w:r>
            <w:r>
              <w:rPr>
                <w:rFonts w:hint="eastAsia" w:ascii="宋体" w:hAnsi="宋体" w:eastAsia="宋体" w:cs="宋体"/>
                <w:color w:val="000000"/>
                <w:sz w:val="21"/>
                <w:szCs w:val="21"/>
              </w:rPr>
              <w:t>有消防器材、应急预案等措施。</w:t>
            </w:r>
          </w:p>
          <w:p>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查《不可接受风险清单》，涉及本部门的不可接受</w:t>
            </w:r>
            <w:r>
              <w:rPr>
                <w:rFonts w:hint="eastAsia" w:ascii="宋体" w:hAnsi="宋体" w:eastAsia="宋体" w:cs="宋体"/>
                <w:sz w:val="21"/>
                <w:szCs w:val="21"/>
              </w:rPr>
              <w:t>风险，包括：触电和火灾。</w:t>
            </w:r>
          </w:p>
          <w:p>
            <w:pPr>
              <w:spacing w:line="360" w:lineRule="auto"/>
              <w:rPr>
                <w:rFonts w:hint="eastAsia" w:ascii="宋体" w:hAnsi="宋体" w:eastAsia="宋体" w:cs="宋体"/>
                <w:sz w:val="21"/>
                <w:szCs w:val="21"/>
              </w:rPr>
            </w:pPr>
            <w:r>
              <w:rPr>
                <w:rFonts w:hint="eastAsia" w:ascii="宋体" w:hAnsi="宋体" w:eastAsia="宋体" w:cs="宋体"/>
                <w:sz w:val="21"/>
                <w:szCs w:val="21"/>
              </w:rPr>
              <w:t>危险源控制执行管理方案、配备消防器材、个体防护、日常检查、培训教育、应急预案等运行控制措施。</w:t>
            </w:r>
          </w:p>
          <w:p>
            <w:pPr>
              <w:snapToGrid w:val="0"/>
              <w:spacing w:line="360" w:lineRule="auto"/>
              <w:rPr>
                <w:rFonts w:hint="eastAsia" w:ascii="宋体" w:hAnsi="宋体" w:eastAsia="宋体" w:cs="宋体"/>
                <w:bCs/>
                <w:spacing w:val="10"/>
                <w:kern w:val="2"/>
                <w:sz w:val="21"/>
                <w:szCs w:val="21"/>
                <w:highlight w:val="none"/>
                <w:lang w:val="en-US" w:eastAsia="zh-CN" w:bidi="ar-SA"/>
              </w:rPr>
            </w:pPr>
            <w:r>
              <w:rPr>
                <w:rFonts w:hint="eastAsia" w:ascii="宋体" w:hAnsi="宋体" w:eastAsia="宋体" w:cs="宋体"/>
                <w:color w:val="000000"/>
                <w:sz w:val="21"/>
                <w:szCs w:val="21"/>
              </w:rPr>
              <w:t xml:space="preserve"> 部门识别和评价基本充分，符合规定要求。</w:t>
            </w:r>
          </w:p>
        </w:tc>
        <w:tc>
          <w:tcPr>
            <w:tcW w:w="1585" w:type="dxa"/>
          </w:tcPr>
          <w:p>
            <w:pPr>
              <w:spacing w:line="360" w:lineRule="auto"/>
              <w:rPr>
                <w:rFonts w:hint="eastAsia" w:ascii="宋体" w:hAnsi="宋体" w:eastAsia="宋体" w:cs="宋体"/>
              </w:rPr>
            </w:pPr>
            <w:r>
              <w:rPr>
                <w:rFonts w:hint="eastAsia" w:ascii="宋体" w:hAnsi="宋体" w:eastAsia="宋体" w:cs="宋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trPr>
        <w:tc>
          <w:tcPr>
            <w:tcW w:w="2160" w:type="dxa"/>
            <w:vAlign w:val="center"/>
          </w:tcPr>
          <w:p>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rPr>
              <w:t>运行策划和控制、</w:t>
            </w:r>
          </w:p>
        </w:tc>
        <w:tc>
          <w:tcPr>
            <w:tcW w:w="960" w:type="dxa"/>
            <w:vAlign w:val="center"/>
          </w:tcPr>
          <w:p>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bCs/>
                <w:sz w:val="21"/>
                <w:szCs w:val="21"/>
              </w:rPr>
              <w:t>E</w:t>
            </w:r>
            <w:r>
              <w:rPr>
                <w:rFonts w:hint="eastAsia" w:ascii="宋体" w:hAnsi="宋体" w:eastAsia="宋体" w:cs="宋体"/>
                <w:bCs/>
                <w:sz w:val="21"/>
                <w:szCs w:val="21"/>
                <w:lang w:val="en-US" w:eastAsia="zh-CN"/>
              </w:rPr>
              <w:t>O</w:t>
            </w:r>
            <w:r>
              <w:rPr>
                <w:rFonts w:hint="eastAsia" w:ascii="宋体" w:hAnsi="宋体" w:eastAsia="宋体" w:cs="宋体"/>
                <w:sz w:val="21"/>
                <w:szCs w:val="21"/>
              </w:rPr>
              <w:t xml:space="preserve">8.1  </w:t>
            </w:r>
          </w:p>
        </w:tc>
        <w:tc>
          <w:tcPr>
            <w:tcW w:w="10004" w:type="dxa"/>
            <w:vAlign w:val="center"/>
          </w:tcPr>
          <w:p>
            <w:pPr>
              <w:spacing w:line="360" w:lineRule="auto"/>
              <w:rPr>
                <w:rFonts w:hint="eastAsia" w:ascii="宋体" w:hAnsi="宋体" w:eastAsia="宋体" w:cs="宋体"/>
                <w:szCs w:val="22"/>
              </w:rPr>
            </w:pPr>
            <w:r>
              <w:rPr>
                <w:rFonts w:hint="eastAsia" w:ascii="宋体" w:hAnsi="宋体" w:eastAsia="宋体" w:cs="宋体"/>
                <w:szCs w:val="22"/>
              </w:rPr>
              <w:t>编制并实施《应急准备和响应管理程序》、《安全管理程序》、《应急管理程序》、《防火管理程序》等</w:t>
            </w:r>
            <w:r>
              <w:rPr>
                <w:rFonts w:hint="eastAsia" w:ascii="宋体" w:hAnsi="宋体" w:eastAsia="宋体" w:cs="宋体"/>
                <w:szCs w:val="22"/>
                <w:lang w:val="en-US" w:eastAsia="zh-CN"/>
              </w:rPr>
              <w:t>环境、</w:t>
            </w:r>
            <w:r>
              <w:rPr>
                <w:rFonts w:hint="eastAsia" w:ascii="宋体" w:hAnsi="宋体" w:eastAsia="宋体" w:cs="宋体"/>
                <w:szCs w:val="22"/>
              </w:rPr>
              <w:t>职业健康安全控制程序和管理制度。</w:t>
            </w:r>
          </w:p>
          <w:p>
            <w:pPr>
              <w:spacing w:line="360" w:lineRule="auto"/>
              <w:ind w:firstLine="420" w:firstLineChars="200"/>
              <w:rPr>
                <w:rFonts w:hint="eastAsia" w:ascii="宋体" w:hAnsi="宋体" w:eastAsia="宋体" w:cs="宋体"/>
                <w:szCs w:val="22"/>
              </w:rPr>
            </w:pPr>
            <w:r>
              <w:rPr>
                <w:rFonts w:hint="eastAsia" w:ascii="宋体" w:hAnsi="宋体" w:eastAsia="宋体" w:cs="宋体"/>
                <w:szCs w:val="22"/>
              </w:rPr>
              <w:t>本部门办公中所使用的办公用品均由公司</w:t>
            </w:r>
            <w:r>
              <w:rPr>
                <w:rFonts w:hint="eastAsia" w:ascii="宋体" w:hAnsi="宋体" w:eastAsia="宋体" w:cs="宋体"/>
                <w:szCs w:val="22"/>
                <w:lang w:val="en-US" w:eastAsia="zh-CN"/>
              </w:rPr>
              <w:t>综合</w:t>
            </w:r>
            <w:r>
              <w:rPr>
                <w:rFonts w:hint="eastAsia" w:ascii="宋体" w:hAnsi="宋体" w:eastAsia="宋体" w:cs="宋体"/>
                <w:szCs w:val="22"/>
              </w:rPr>
              <w:t>办公室负责统一打印、复印，产生的废弃物，由办公室统一处理。对可回收的固体废弃物，一部分由厂家回收，厂家不回收的公司统一回收再利用或由物资回收公司处理，不可回收的废弃物由公司办公室统一处理，部门不单独处理。</w:t>
            </w:r>
          </w:p>
          <w:p>
            <w:pPr>
              <w:spacing w:line="360" w:lineRule="auto"/>
              <w:ind w:firstLine="210" w:firstLineChars="100"/>
              <w:rPr>
                <w:rFonts w:hint="eastAsia" w:ascii="宋体" w:hAnsi="宋体" w:eastAsia="宋体" w:cs="宋体"/>
                <w:szCs w:val="22"/>
              </w:rPr>
            </w:pPr>
            <w:r>
              <w:rPr>
                <w:rFonts w:hint="eastAsia" w:ascii="宋体" w:hAnsi="宋体" w:eastAsia="宋体" w:cs="宋体"/>
                <w:szCs w:val="22"/>
              </w:rPr>
              <w:t>办公室和仓库内主要是电的使用，电器有漏电保护器，经常对电路、电源进行检查，没有露电现象发生。</w:t>
            </w:r>
          </w:p>
          <w:p>
            <w:pPr>
              <w:spacing w:line="360" w:lineRule="auto"/>
              <w:rPr>
                <w:rFonts w:hint="eastAsia" w:ascii="宋体" w:hAnsi="宋体" w:eastAsia="宋体" w:cs="宋体"/>
              </w:rPr>
            </w:pPr>
            <w:r>
              <w:rPr>
                <w:rFonts w:hint="eastAsia" w:ascii="宋体" w:hAnsi="宋体" w:eastAsia="宋体" w:cs="宋体"/>
              </w:rPr>
              <w:t>建立并实施了《相关方管理程序》，</w:t>
            </w:r>
          </w:p>
          <w:p>
            <w:pPr>
              <w:spacing w:line="360" w:lineRule="auto"/>
              <w:rPr>
                <w:rFonts w:hint="eastAsia" w:ascii="宋体" w:hAnsi="宋体" w:eastAsia="宋体" w:cs="宋体"/>
              </w:rPr>
            </w:pPr>
            <w:r>
              <w:rPr>
                <w:rFonts w:hint="eastAsia" w:ascii="宋体" w:hAnsi="宋体" w:eastAsia="宋体" w:cs="宋体"/>
              </w:rPr>
              <w:t>对供应商施加影响还包括在评定供应商时，获取质量、环境、职业健康安全管理体系证书则优先，产品必须用环保无毒无害材料等措施。</w:t>
            </w:r>
          </w:p>
          <w:p>
            <w:pPr>
              <w:spacing w:line="360" w:lineRule="auto"/>
              <w:rPr>
                <w:rFonts w:hint="eastAsia" w:ascii="宋体" w:hAnsi="宋体" w:eastAsia="宋体" w:cs="宋体"/>
                <w:bCs w:val="0"/>
                <w:spacing w:val="0"/>
                <w:kern w:val="2"/>
                <w:sz w:val="21"/>
                <w:szCs w:val="21"/>
                <w:highlight w:val="none"/>
                <w:lang w:val="en-US" w:eastAsia="zh-CN" w:bidi="ar-SA"/>
              </w:rPr>
            </w:pPr>
            <w:r>
              <w:rPr>
                <w:rFonts w:hint="eastAsia" w:ascii="宋体" w:hAnsi="宋体" w:eastAsia="宋体" w:cs="宋体"/>
              </w:rPr>
              <w:t>部门运行控制基本符合策划要求。</w:t>
            </w:r>
          </w:p>
        </w:tc>
        <w:tc>
          <w:tcPr>
            <w:tcW w:w="1585" w:type="dxa"/>
          </w:tcPr>
          <w:p>
            <w:pPr>
              <w:spacing w:line="360" w:lineRule="auto"/>
              <w:rPr>
                <w:rFonts w:hint="eastAsia" w:ascii="宋体" w:hAnsi="宋体" w:eastAsia="宋体" w:cs="宋体"/>
              </w:rPr>
            </w:pPr>
            <w:r>
              <w:rPr>
                <w:rFonts w:hint="eastAsia" w:ascii="宋体" w:hAnsi="宋体" w:eastAsia="宋体" w:cs="宋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center"/>
          </w:tcPr>
          <w:p>
            <w:pPr>
              <w:spacing w:line="360" w:lineRule="auto"/>
              <w:rPr>
                <w:rFonts w:hint="eastAsia" w:ascii="宋体" w:hAnsi="宋体" w:eastAsia="宋体" w:cs="宋体"/>
                <w:bCs/>
                <w:sz w:val="21"/>
                <w:szCs w:val="21"/>
              </w:rPr>
            </w:pPr>
            <w:r>
              <w:rPr>
                <w:rFonts w:hint="eastAsia" w:ascii="宋体" w:hAnsi="宋体" w:eastAsia="宋体" w:cs="宋体"/>
                <w:sz w:val="21"/>
                <w:szCs w:val="21"/>
              </w:rPr>
              <w:t>应急准备和响应</w:t>
            </w:r>
          </w:p>
          <w:p>
            <w:pPr>
              <w:spacing w:line="360" w:lineRule="auto"/>
              <w:rPr>
                <w:rFonts w:hint="eastAsia" w:ascii="宋体" w:hAnsi="宋体" w:eastAsia="宋体" w:cs="宋体"/>
                <w:sz w:val="21"/>
                <w:szCs w:val="21"/>
                <w:highlight w:val="none"/>
                <w:lang w:val="en-US" w:eastAsia="zh-CN"/>
              </w:rPr>
            </w:pPr>
          </w:p>
        </w:tc>
        <w:tc>
          <w:tcPr>
            <w:tcW w:w="960" w:type="dxa"/>
            <w:vAlign w:val="top"/>
          </w:tcPr>
          <w:p>
            <w:pPr>
              <w:spacing w:line="360" w:lineRule="auto"/>
              <w:rPr>
                <w:rFonts w:hint="eastAsia" w:ascii="宋体" w:hAnsi="宋体" w:eastAsia="宋体" w:cs="宋体"/>
                <w:bCs/>
                <w:sz w:val="21"/>
                <w:szCs w:val="21"/>
              </w:rPr>
            </w:pPr>
            <w:r>
              <w:rPr>
                <w:rFonts w:hint="eastAsia" w:ascii="宋体" w:hAnsi="宋体" w:eastAsia="宋体" w:cs="宋体"/>
                <w:bCs/>
                <w:sz w:val="21"/>
                <w:szCs w:val="21"/>
              </w:rPr>
              <w:t>E</w:t>
            </w:r>
            <w:r>
              <w:rPr>
                <w:rFonts w:hint="eastAsia" w:ascii="宋体" w:hAnsi="宋体" w:eastAsia="宋体" w:cs="宋体"/>
                <w:bCs/>
                <w:sz w:val="21"/>
                <w:szCs w:val="21"/>
                <w:lang w:val="en-US" w:eastAsia="zh-CN"/>
              </w:rPr>
              <w:t>O</w:t>
            </w:r>
            <w:r>
              <w:rPr>
                <w:rFonts w:hint="eastAsia" w:ascii="宋体" w:hAnsi="宋体" w:eastAsia="宋体" w:cs="宋体"/>
                <w:bCs/>
                <w:sz w:val="21"/>
                <w:szCs w:val="21"/>
              </w:rPr>
              <w:t>：</w:t>
            </w:r>
            <w:r>
              <w:rPr>
                <w:rFonts w:hint="eastAsia" w:ascii="宋体" w:hAnsi="宋体" w:eastAsia="宋体" w:cs="宋体"/>
                <w:sz w:val="21"/>
                <w:szCs w:val="21"/>
              </w:rPr>
              <w:t>8.2</w:t>
            </w:r>
          </w:p>
          <w:p>
            <w:pPr>
              <w:spacing w:line="360" w:lineRule="auto"/>
              <w:rPr>
                <w:rFonts w:hint="eastAsia" w:ascii="宋体" w:hAnsi="宋体" w:eastAsia="宋体" w:cs="宋体"/>
                <w:bCs/>
                <w:sz w:val="21"/>
                <w:szCs w:val="21"/>
              </w:rPr>
            </w:pPr>
          </w:p>
          <w:p>
            <w:pPr>
              <w:spacing w:line="360" w:lineRule="auto"/>
              <w:rPr>
                <w:rFonts w:hint="eastAsia" w:ascii="宋体" w:hAnsi="宋体" w:eastAsia="宋体" w:cs="宋体"/>
                <w:sz w:val="21"/>
                <w:szCs w:val="21"/>
                <w:highlight w:val="none"/>
                <w:lang w:val="en-US" w:eastAsia="zh-CN"/>
              </w:rPr>
            </w:pPr>
          </w:p>
        </w:tc>
        <w:tc>
          <w:tcPr>
            <w:tcW w:w="10004" w:type="dxa"/>
            <w:vAlign w:val="top"/>
          </w:tcPr>
          <w:p>
            <w:pPr>
              <w:spacing w:line="360" w:lineRule="auto"/>
              <w:rPr>
                <w:rFonts w:hint="eastAsia" w:ascii="宋体" w:hAnsi="宋体" w:eastAsia="宋体" w:cs="宋体"/>
                <w:sz w:val="21"/>
                <w:szCs w:val="21"/>
              </w:rPr>
            </w:pPr>
            <w:r>
              <w:rPr>
                <w:rFonts w:hint="eastAsia" w:ascii="宋体" w:hAnsi="宋体" w:eastAsia="宋体" w:cs="宋体"/>
                <w:sz w:val="21"/>
                <w:szCs w:val="21"/>
              </w:rPr>
              <w:t>制定实施了《应急准备和响应控制程序》，制定了火灾、触电应急预案。</w:t>
            </w:r>
          </w:p>
          <w:p>
            <w:pPr>
              <w:spacing w:line="360" w:lineRule="auto"/>
              <w:rPr>
                <w:rFonts w:hint="eastAsia" w:ascii="宋体" w:hAnsi="宋体" w:eastAsia="宋体" w:cs="宋体"/>
                <w:sz w:val="21"/>
                <w:szCs w:val="21"/>
              </w:rPr>
            </w:pPr>
            <w:r>
              <w:rPr>
                <w:rFonts w:hint="eastAsia" w:ascii="宋体" w:hAnsi="宋体" w:eastAsia="宋体" w:cs="宋体"/>
                <w:sz w:val="21"/>
                <w:szCs w:val="21"/>
              </w:rPr>
              <w:t>20</w:t>
            </w:r>
            <w:r>
              <w:rPr>
                <w:rFonts w:hint="eastAsia" w:ascii="宋体" w:hAnsi="宋体" w:eastAsia="宋体" w:cs="宋体"/>
                <w:sz w:val="21"/>
                <w:szCs w:val="21"/>
                <w:lang w:val="en-US" w:eastAsia="zh-CN"/>
              </w:rPr>
              <w:t>20</w:t>
            </w:r>
            <w:r>
              <w:rPr>
                <w:rFonts w:hint="eastAsia" w:ascii="宋体" w:hAnsi="宋体" w:eastAsia="宋体" w:cs="宋体"/>
                <w:sz w:val="21"/>
                <w:szCs w:val="21"/>
              </w:rPr>
              <w:t>.</w:t>
            </w:r>
            <w:r>
              <w:rPr>
                <w:rFonts w:hint="eastAsia" w:ascii="宋体" w:hAnsi="宋体" w:eastAsia="宋体" w:cs="宋体"/>
                <w:sz w:val="21"/>
                <w:szCs w:val="21"/>
                <w:lang w:val="en-US" w:eastAsia="zh-CN"/>
              </w:rPr>
              <w:t>8</w:t>
            </w:r>
            <w:r>
              <w:rPr>
                <w:rFonts w:hint="eastAsia" w:ascii="宋体" w:hAnsi="宋体" w:eastAsia="宋体" w:cs="宋体"/>
                <w:sz w:val="21"/>
                <w:szCs w:val="21"/>
              </w:rPr>
              <w:t>.</w:t>
            </w:r>
            <w:r>
              <w:rPr>
                <w:rFonts w:hint="eastAsia" w:ascii="宋体" w:hAnsi="宋体" w:eastAsia="宋体" w:cs="宋体"/>
                <w:sz w:val="21"/>
                <w:szCs w:val="21"/>
                <w:lang w:val="en-US" w:eastAsia="zh-CN"/>
              </w:rPr>
              <w:t>18</w:t>
            </w:r>
            <w:r>
              <w:rPr>
                <w:rFonts w:hint="eastAsia" w:ascii="宋体" w:hAnsi="宋体" w:eastAsia="宋体" w:cs="宋体"/>
                <w:sz w:val="21"/>
                <w:szCs w:val="21"/>
              </w:rPr>
              <w:t>日参加了由</w:t>
            </w:r>
            <w:r>
              <w:rPr>
                <w:rFonts w:hint="eastAsia" w:ascii="宋体" w:hAnsi="宋体" w:eastAsia="宋体" w:cs="宋体"/>
                <w:sz w:val="21"/>
                <w:szCs w:val="21"/>
                <w:lang w:val="en-US" w:eastAsia="zh-CN"/>
              </w:rPr>
              <w:t>综合</w:t>
            </w:r>
            <w:r>
              <w:rPr>
                <w:rFonts w:hint="eastAsia" w:ascii="宋体" w:hAnsi="宋体" w:eastAsia="宋体" w:cs="宋体"/>
                <w:sz w:val="21"/>
                <w:szCs w:val="21"/>
              </w:rPr>
              <w:t>办公室组织的消防演练。</w:t>
            </w:r>
          </w:p>
          <w:p>
            <w:pPr>
              <w:spacing w:line="360" w:lineRule="auto"/>
              <w:rPr>
                <w:rFonts w:hint="eastAsia" w:ascii="宋体" w:hAnsi="宋体" w:eastAsia="宋体" w:cs="宋体"/>
                <w:sz w:val="21"/>
                <w:szCs w:val="21"/>
              </w:rPr>
            </w:pPr>
            <w:r>
              <w:rPr>
                <w:rFonts w:hint="eastAsia" w:ascii="宋体" w:hAnsi="宋体" w:eastAsia="宋体" w:cs="宋体"/>
                <w:sz w:val="21"/>
                <w:szCs w:val="21"/>
              </w:rPr>
              <w:t>现场查看仓库有灭火器，状态有效。</w:t>
            </w:r>
          </w:p>
          <w:p>
            <w:pPr>
              <w:spacing w:line="360" w:lineRule="auto"/>
              <w:rPr>
                <w:rFonts w:hint="eastAsia" w:ascii="宋体" w:hAnsi="宋体" w:eastAsia="宋体" w:cs="宋体"/>
                <w:bCs w:val="0"/>
                <w:spacing w:val="0"/>
                <w:kern w:val="2"/>
                <w:sz w:val="21"/>
                <w:szCs w:val="21"/>
                <w:highlight w:val="none"/>
                <w:lang w:val="en-US" w:eastAsia="zh-CN" w:bidi="ar-SA"/>
              </w:rPr>
            </w:pPr>
            <w:r>
              <w:rPr>
                <w:rFonts w:hint="eastAsia" w:ascii="宋体" w:hAnsi="宋体" w:eastAsia="宋体" w:cs="宋体"/>
                <w:sz w:val="21"/>
                <w:szCs w:val="21"/>
              </w:rPr>
              <w:t>部门未发生过应急事件。</w:t>
            </w:r>
          </w:p>
        </w:tc>
        <w:tc>
          <w:tcPr>
            <w:tcW w:w="1585" w:type="dxa"/>
          </w:tcPr>
          <w:p>
            <w:pPr>
              <w:spacing w:line="360" w:lineRule="auto"/>
              <w:rPr>
                <w:rFonts w:hint="eastAsia" w:ascii="宋体" w:hAnsi="宋体" w:eastAsia="宋体" w:cs="宋体"/>
              </w:rPr>
            </w:pPr>
            <w:r>
              <w:rPr>
                <w:rFonts w:hint="eastAsia" w:ascii="宋体" w:hAnsi="宋体" w:eastAsia="宋体" w:cs="宋体"/>
              </w:rPr>
              <w:t>Y</w:t>
            </w:r>
          </w:p>
        </w:tc>
      </w:tr>
    </w:tbl>
    <w:p/>
    <w:p>
      <w:pPr>
        <w:pStyle w:val="7"/>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Verdana">
    <w:panose1 w:val="020B0604030504040204"/>
    <w:charset w:val="00"/>
    <w:family w:val="swiss"/>
    <w:pitch w:val="default"/>
    <w:sig w:usb0="A00006FF" w:usb1="4000205B" w:usb2="00000010" w:usb3="00000000" w:csb0="2000019F"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8"/>
      <w:pBdr>
        <w:bottom w:val="none" w:color="auto" w:sz="0" w:space="0"/>
      </w:pBdr>
      <w:spacing w:line="320" w:lineRule="exact"/>
      <w:jc w:val="left"/>
    </w:pPr>
    <w:r>
      <mc:AlternateContent>
        <mc:Choice Requires="wps">
          <w:drawing>
            <wp:anchor distT="0" distB="0" distL="114300" distR="114300" simplePos="0" relativeHeight="251659264" behindDoc="0" locked="0" layoutInCell="1" allowOverlap="1">
              <wp:simplePos x="0" y="0"/>
              <wp:positionH relativeFrom="column">
                <wp:posOffset>7045325</wp:posOffset>
              </wp:positionH>
              <wp:positionV relativeFrom="paragraph">
                <wp:posOffset>27940</wp:posOffset>
              </wp:positionV>
              <wp:extent cx="2184400" cy="256540"/>
              <wp:effectExtent l="0" t="0" r="0" b="1270"/>
              <wp:wrapNone/>
              <wp:docPr id="2"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184400" cy="256540"/>
                      </a:xfrm>
                      <a:prstGeom prst="rect">
                        <a:avLst/>
                      </a:prstGeom>
                      <a:solidFill>
                        <a:srgbClr val="FFFFFF"/>
                      </a:solidFill>
                      <a:ln>
                        <a:noFill/>
                      </a:ln>
                    </wps:spPr>
                    <wps:txb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wps:txbx>
                    <wps:bodyPr rot="0" vert="horz" wrap="square" lIns="91440" tIns="45720" rIns="91440" bIns="45720" anchor="t" anchorCtr="0" upright="1">
                      <a:noAutofit/>
                    </wps:bodyPr>
                  </wps:wsp>
                </a:graphicData>
              </a:graphic>
            </wp:anchor>
          </w:drawing>
        </mc:Choice>
        <mc:Fallback>
          <w:pict>
            <v:shape id="文本框 1" o:spid="_x0000_s1026" o:spt="202" type="#_x0000_t202" style="position:absolute;left:0pt;margin-left:554.75pt;margin-top:2.2pt;height:20.2pt;width:172pt;z-index:251659264;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Qaq5dYAAAAKAQAADwAAAAAAAAABACAAAAAiAAAAZHJzL2Rvd25yZXYueG1sUEsBAhQAFAAA&#10;AAgAh07iQNRv0G8qAgAAPgQAAA4AAAAAAAAAAQAgAAAAJQEAAGRycy9lMm9Eb2MueG1sUEsFBgAA&#10;AAAGAAYAWQEAAMEFA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mc:Fallback>
      </mc:AlternateContent>
    </w:r>
    <w:r>
      <w:rPr>
        <w:rStyle w:val="15"/>
        <w:rFonts w:hint="default"/>
        <w:w w:val="90"/>
      </w:rPr>
      <w:t>Beijing International Standard united Certification Co.,Ltd.</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F2098B"/>
    <w:multiLevelType w:val="singleLevel"/>
    <w:tmpl w:val="ECF2098B"/>
    <w:lvl w:ilvl="0" w:tentative="0">
      <w:start w:val="2"/>
      <w:numFmt w:val="decimal"/>
      <w:lvlText w:val="%1)"/>
      <w:lvlJc w:val="left"/>
      <w:pPr>
        <w:tabs>
          <w:tab w:val="left" w:pos="312"/>
        </w:tabs>
      </w:pPr>
    </w:lvl>
  </w:abstractNum>
  <w:abstractNum w:abstractNumId="1">
    <w:nsid w:val="379D1BAB"/>
    <w:multiLevelType w:val="singleLevel"/>
    <w:tmpl w:val="379D1BAB"/>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B80"/>
    <w:rsid w:val="0001713F"/>
    <w:rsid w:val="000259AC"/>
    <w:rsid w:val="000B7900"/>
    <w:rsid w:val="000D6436"/>
    <w:rsid w:val="001032CB"/>
    <w:rsid w:val="001538EB"/>
    <w:rsid w:val="001541DA"/>
    <w:rsid w:val="001A2755"/>
    <w:rsid w:val="001E2BA0"/>
    <w:rsid w:val="002D1F1C"/>
    <w:rsid w:val="00376607"/>
    <w:rsid w:val="003852FD"/>
    <w:rsid w:val="00411CE7"/>
    <w:rsid w:val="0044635D"/>
    <w:rsid w:val="00477697"/>
    <w:rsid w:val="004B16A6"/>
    <w:rsid w:val="004E08A4"/>
    <w:rsid w:val="00500C21"/>
    <w:rsid w:val="005E51DA"/>
    <w:rsid w:val="005F58CE"/>
    <w:rsid w:val="006350F0"/>
    <w:rsid w:val="0066443D"/>
    <w:rsid w:val="0068005C"/>
    <w:rsid w:val="006C3B64"/>
    <w:rsid w:val="006E7A70"/>
    <w:rsid w:val="007420C5"/>
    <w:rsid w:val="007536EE"/>
    <w:rsid w:val="007B1A3B"/>
    <w:rsid w:val="007F5845"/>
    <w:rsid w:val="00802252"/>
    <w:rsid w:val="00834B09"/>
    <w:rsid w:val="00893291"/>
    <w:rsid w:val="008E0C8E"/>
    <w:rsid w:val="008E45B6"/>
    <w:rsid w:val="0094266C"/>
    <w:rsid w:val="00954EA8"/>
    <w:rsid w:val="009B7866"/>
    <w:rsid w:val="009C3AF7"/>
    <w:rsid w:val="00A07938"/>
    <w:rsid w:val="00A3276E"/>
    <w:rsid w:val="00AA2D83"/>
    <w:rsid w:val="00AB7281"/>
    <w:rsid w:val="00B01EF6"/>
    <w:rsid w:val="00B325A1"/>
    <w:rsid w:val="00BB5BDD"/>
    <w:rsid w:val="00BB6546"/>
    <w:rsid w:val="00BE0E37"/>
    <w:rsid w:val="00BF540D"/>
    <w:rsid w:val="00C23315"/>
    <w:rsid w:val="00C343F0"/>
    <w:rsid w:val="00CB6525"/>
    <w:rsid w:val="00D5752A"/>
    <w:rsid w:val="00DD4B80"/>
    <w:rsid w:val="00E113F1"/>
    <w:rsid w:val="00E238F5"/>
    <w:rsid w:val="00E345F7"/>
    <w:rsid w:val="00E412FC"/>
    <w:rsid w:val="00E5540F"/>
    <w:rsid w:val="00EA5F93"/>
    <w:rsid w:val="00EF3EBB"/>
    <w:rsid w:val="00F13AB9"/>
    <w:rsid w:val="00F66D86"/>
    <w:rsid w:val="00F67463"/>
    <w:rsid w:val="00F922A5"/>
    <w:rsid w:val="00FB75CB"/>
    <w:rsid w:val="00FD12F5"/>
    <w:rsid w:val="00FD6519"/>
    <w:rsid w:val="01AE0794"/>
    <w:rsid w:val="03026357"/>
    <w:rsid w:val="045B4895"/>
    <w:rsid w:val="04963E1F"/>
    <w:rsid w:val="04E0227F"/>
    <w:rsid w:val="05DC67F3"/>
    <w:rsid w:val="064B576B"/>
    <w:rsid w:val="066A52E1"/>
    <w:rsid w:val="06A70311"/>
    <w:rsid w:val="07071325"/>
    <w:rsid w:val="07CD28F3"/>
    <w:rsid w:val="07F43C4A"/>
    <w:rsid w:val="0937190D"/>
    <w:rsid w:val="09A62AA4"/>
    <w:rsid w:val="09F05A95"/>
    <w:rsid w:val="0A4D7E01"/>
    <w:rsid w:val="0ABE3E19"/>
    <w:rsid w:val="0B2456A1"/>
    <w:rsid w:val="0D2E0465"/>
    <w:rsid w:val="0D892380"/>
    <w:rsid w:val="0EA7001F"/>
    <w:rsid w:val="100862E1"/>
    <w:rsid w:val="10C02EF3"/>
    <w:rsid w:val="10FF34E9"/>
    <w:rsid w:val="119A6E74"/>
    <w:rsid w:val="11EE1116"/>
    <w:rsid w:val="11F74BE6"/>
    <w:rsid w:val="12AB025C"/>
    <w:rsid w:val="13175849"/>
    <w:rsid w:val="13AD15CE"/>
    <w:rsid w:val="140E64FD"/>
    <w:rsid w:val="141E15F7"/>
    <w:rsid w:val="14460C11"/>
    <w:rsid w:val="15296097"/>
    <w:rsid w:val="15CB40D6"/>
    <w:rsid w:val="169366B0"/>
    <w:rsid w:val="176A68CC"/>
    <w:rsid w:val="18170ED9"/>
    <w:rsid w:val="196355F1"/>
    <w:rsid w:val="19B12C49"/>
    <w:rsid w:val="19D94788"/>
    <w:rsid w:val="1BF2082C"/>
    <w:rsid w:val="1DDF39F3"/>
    <w:rsid w:val="1DF56417"/>
    <w:rsid w:val="1E362801"/>
    <w:rsid w:val="1F906D4E"/>
    <w:rsid w:val="20591B3B"/>
    <w:rsid w:val="20892F43"/>
    <w:rsid w:val="212A4823"/>
    <w:rsid w:val="218B3026"/>
    <w:rsid w:val="21FF454E"/>
    <w:rsid w:val="22906815"/>
    <w:rsid w:val="229B7AE6"/>
    <w:rsid w:val="237F0888"/>
    <w:rsid w:val="249D75E1"/>
    <w:rsid w:val="24FD57A9"/>
    <w:rsid w:val="2543337E"/>
    <w:rsid w:val="255A159D"/>
    <w:rsid w:val="258A31AA"/>
    <w:rsid w:val="25B20D94"/>
    <w:rsid w:val="264C6A8A"/>
    <w:rsid w:val="2671551B"/>
    <w:rsid w:val="26EB54B4"/>
    <w:rsid w:val="273B18FA"/>
    <w:rsid w:val="27D53945"/>
    <w:rsid w:val="27EC6D1F"/>
    <w:rsid w:val="289B00F7"/>
    <w:rsid w:val="29136238"/>
    <w:rsid w:val="2BE7400F"/>
    <w:rsid w:val="2C145D33"/>
    <w:rsid w:val="2C503195"/>
    <w:rsid w:val="2C5123E1"/>
    <w:rsid w:val="2CA0042F"/>
    <w:rsid w:val="2CA51642"/>
    <w:rsid w:val="2CCD1E74"/>
    <w:rsid w:val="2D04149E"/>
    <w:rsid w:val="2D766A69"/>
    <w:rsid w:val="2DC50188"/>
    <w:rsid w:val="2DD93D4C"/>
    <w:rsid w:val="2E290581"/>
    <w:rsid w:val="2E567596"/>
    <w:rsid w:val="2EE84CA6"/>
    <w:rsid w:val="2F121C50"/>
    <w:rsid w:val="2FDD746B"/>
    <w:rsid w:val="300E183B"/>
    <w:rsid w:val="30441C7B"/>
    <w:rsid w:val="3323734B"/>
    <w:rsid w:val="33524A35"/>
    <w:rsid w:val="339D2477"/>
    <w:rsid w:val="33F864F0"/>
    <w:rsid w:val="34750347"/>
    <w:rsid w:val="34F73F3A"/>
    <w:rsid w:val="35072736"/>
    <w:rsid w:val="35292E63"/>
    <w:rsid w:val="359C6C26"/>
    <w:rsid w:val="35D211CE"/>
    <w:rsid w:val="36AD08CD"/>
    <w:rsid w:val="37355DF2"/>
    <w:rsid w:val="38145767"/>
    <w:rsid w:val="39060B0C"/>
    <w:rsid w:val="39162C8C"/>
    <w:rsid w:val="3ACD53C1"/>
    <w:rsid w:val="3B3835C2"/>
    <w:rsid w:val="3B450195"/>
    <w:rsid w:val="3C697F1C"/>
    <w:rsid w:val="3CA27813"/>
    <w:rsid w:val="3CD46A82"/>
    <w:rsid w:val="3D0A35D2"/>
    <w:rsid w:val="3D610536"/>
    <w:rsid w:val="3D795A27"/>
    <w:rsid w:val="3DA55A26"/>
    <w:rsid w:val="3F4B0B90"/>
    <w:rsid w:val="3FDC1556"/>
    <w:rsid w:val="40483048"/>
    <w:rsid w:val="42450553"/>
    <w:rsid w:val="427344A4"/>
    <w:rsid w:val="42A268B1"/>
    <w:rsid w:val="431D7913"/>
    <w:rsid w:val="43715D05"/>
    <w:rsid w:val="444632A3"/>
    <w:rsid w:val="447D4741"/>
    <w:rsid w:val="451B396A"/>
    <w:rsid w:val="465E0428"/>
    <w:rsid w:val="4667343F"/>
    <w:rsid w:val="46C92161"/>
    <w:rsid w:val="46ED6330"/>
    <w:rsid w:val="470D6011"/>
    <w:rsid w:val="47C139FE"/>
    <w:rsid w:val="47C96301"/>
    <w:rsid w:val="486A51B2"/>
    <w:rsid w:val="488E19FE"/>
    <w:rsid w:val="48983C67"/>
    <w:rsid w:val="48E377B8"/>
    <w:rsid w:val="4AE3393F"/>
    <w:rsid w:val="4BDD115C"/>
    <w:rsid w:val="4C0D4C43"/>
    <w:rsid w:val="4C573C91"/>
    <w:rsid w:val="4C5972F7"/>
    <w:rsid w:val="4C93451E"/>
    <w:rsid w:val="4D510E91"/>
    <w:rsid w:val="4E0C62DC"/>
    <w:rsid w:val="4E5A5E1D"/>
    <w:rsid w:val="4E697A90"/>
    <w:rsid w:val="4EF00A95"/>
    <w:rsid w:val="4F4023E0"/>
    <w:rsid w:val="501635E5"/>
    <w:rsid w:val="50BF2BB3"/>
    <w:rsid w:val="51017E48"/>
    <w:rsid w:val="51D954E3"/>
    <w:rsid w:val="53066A9D"/>
    <w:rsid w:val="53310203"/>
    <w:rsid w:val="53386B39"/>
    <w:rsid w:val="53802744"/>
    <w:rsid w:val="54436E69"/>
    <w:rsid w:val="5462555D"/>
    <w:rsid w:val="547B6B84"/>
    <w:rsid w:val="548C7E1A"/>
    <w:rsid w:val="54DF1C14"/>
    <w:rsid w:val="550226ED"/>
    <w:rsid w:val="554A000D"/>
    <w:rsid w:val="56484DFB"/>
    <w:rsid w:val="575C3918"/>
    <w:rsid w:val="57E814AC"/>
    <w:rsid w:val="599A7D17"/>
    <w:rsid w:val="5A9F5C7B"/>
    <w:rsid w:val="5BA13433"/>
    <w:rsid w:val="5E8759A4"/>
    <w:rsid w:val="5F1B78D7"/>
    <w:rsid w:val="5F4E54B0"/>
    <w:rsid w:val="601F44AE"/>
    <w:rsid w:val="602F06FE"/>
    <w:rsid w:val="60AC584B"/>
    <w:rsid w:val="60B15773"/>
    <w:rsid w:val="60C85DAC"/>
    <w:rsid w:val="613620FE"/>
    <w:rsid w:val="61FC2599"/>
    <w:rsid w:val="6346226B"/>
    <w:rsid w:val="63ED7E5E"/>
    <w:rsid w:val="63F90704"/>
    <w:rsid w:val="64623A89"/>
    <w:rsid w:val="663E5814"/>
    <w:rsid w:val="66D56A66"/>
    <w:rsid w:val="66ED7E50"/>
    <w:rsid w:val="67611ED5"/>
    <w:rsid w:val="67AA3536"/>
    <w:rsid w:val="68E718AC"/>
    <w:rsid w:val="69BA6068"/>
    <w:rsid w:val="69ED7DC6"/>
    <w:rsid w:val="6A4F35B8"/>
    <w:rsid w:val="6A6D4094"/>
    <w:rsid w:val="6AC242D8"/>
    <w:rsid w:val="6B9D0130"/>
    <w:rsid w:val="6C1B3F99"/>
    <w:rsid w:val="6C3F2167"/>
    <w:rsid w:val="6C7348F9"/>
    <w:rsid w:val="6C773542"/>
    <w:rsid w:val="6C7E02FB"/>
    <w:rsid w:val="6CFE4F8F"/>
    <w:rsid w:val="6D2F770C"/>
    <w:rsid w:val="6F89137C"/>
    <w:rsid w:val="6F90542C"/>
    <w:rsid w:val="7066288C"/>
    <w:rsid w:val="70FE56D5"/>
    <w:rsid w:val="71CD0882"/>
    <w:rsid w:val="720419DE"/>
    <w:rsid w:val="721D52EB"/>
    <w:rsid w:val="725E4A51"/>
    <w:rsid w:val="726724C2"/>
    <w:rsid w:val="7338367F"/>
    <w:rsid w:val="73E1774C"/>
    <w:rsid w:val="73ED2F63"/>
    <w:rsid w:val="74BE4CBD"/>
    <w:rsid w:val="75CD62EC"/>
    <w:rsid w:val="75DC79B9"/>
    <w:rsid w:val="75EB65B5"/>
    <w:rsid w:val="76F87D79"/>
    <w:rsid w:val="77126840"/>
    <w:rsid w:val="7766387A"/>
    <w:rsid w:val="77885540"/>
    <w:rsid w:val="779722B2"/>
    <w:rsid w:val="780D7A7E"/>
    <w:rsid w:val="78781135"/>
    <w:rsid w:val="79C52DCD"/>
    <w:rsid w:val="79E1783B"/>
    <w:rsid w:val="79F83F77"/>
    <w:rsid w:val="7A0550B0"/>
    <w:rsid w:val="7A4B4439"/>
    <w:rsid w:val="7A596AD9"/>
    <w:rsid w:val="7A7219C7"/>
    <w:rsid w:val="7BAC27DE"/>
    <w:rsid w:val="7BD81269"/>
    <w:rsid w:val="7BF8105A"/>
    <w:rsid w:val="7C25589F"/>
    <w:rsid w:val="7C655753"/>
    <w:rsid w:val="7C852ED7"/>
    <w:rsid w:val="7F5D7B54"/>
    <w:rsid w:val="7FC57B0A"/>
    <w:rsid w:val="7FED759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qFormat/>
    <w:uiPriority w:val="0"/>
    <w:pPr>
      <w:keepNext/>
      <w:adjustRightInd w:val="0"/>
      <w:snapToGrid w:val="0"/>
      <w:spacing w:line="400" w:lineRule="atLeast"/>
      <w:ind w:right="48"/>
      <w:jc w:val="center"/>
      <w:textAlignment w:val="baseline"/>
      <w:outlineLvl w:val="1"/>
    </w:pPr>
    <w:rPr>
      <w:rFonts w:ascii="MingLiU" w:eastAsia="MingLiU"/>
      <w:kern w:val="0"/>
      <w:sz w:val="28"/>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line="420" w:lineRule="exact"/>
    </w:pPr>
    <w:rPr>
      <w:sz w:val="24"/>
    </w:rPr>
  </w:style>
  <w:style w:type="paragraph" w:styleId="4">
    <w:name w:val="Normal Indent"/>
    <w:basedOn w:val="1"/>
    <w:qFormat/>
    <w:uiPriority w:val="0"/>
    <w:pPr>
      <w:adjustRightInd w:val="0"/>
      <w:spacing w:line="360" w:lineRule="atLeast"/>
      <w:ind w:left="480"/>
      <w:textAlignment w:val="baseline"/>
    </w:pPr>
    <w:rPr>
      <w:kern w:val="0"/>
    </w:rPr>
  </w:style>
  <w:style w:type="paragraph" w:styleId="5">
    <w:name w:val="Body Text Indent"/>
    <w:basedOn w:val="1"/>
    <w:link w:val="18"/>
    <w:qFormat/>
    <w:uiPriority w:val="0"/>
    <w:pPr>
      <w:ind w:left="360"/>
    </w:pPr>
    <w:rPr>
      <w:rFonts w:ascii="宋体"/>
      <w:sz w:val="20"/>
    </w:rPr>
  </w:style>
  <w:style w:type="paragraph" w:styleId="6">
    <w:name w:val="Balloon Text"/>
    <w:basedOn w:val="1"/>
    <w:link w:val="14"/>
    <w:semiHidden/>
    <w:unhideWhenUsed/>
    <w:qFormat/>
    <w:uiPriority w:val="99"/>
    <w:rPr>
      <w:sz w:val="18"/>
      <w:szCs w:val="18"/>
    </w:rPr>
  </w:style>
  <w:style w:type="paragraph" w:styleId="7">
    <w:name w:val="footer"/>
    <w:basedOn w:val="1"/>
    <w:link w:val="13"/>
    <w:unhideWhenUsed/>
    <w:qFormat/>
    <w:uiPriority w:val="99"/>
    <w:pPr>
      <w:tabs>
        <w:tab w:val="center" w:pos="4153"/>
        <w:tab w:val="right" w:pos="8306"/>
      </w:tabs>
      <w:snapToGrid w:val="0"/>
      <w:jc w:val="left"/>
    </w:pPr>
    <w:rPr>
      <w:sz w:val="18"/>
      <w:szCs w:val="18"/>
    </w:rPr>
  </w:style>
  <w:style w:type="paragraph" w:styleId="8">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customStyle="1" w:styleId="11">
    <w:name w:val="表格文字"/>
    <w:basedOn w:val="1"/>
    <w:qFormat/>
    <w:uiPriority w:val="99"/>
    <w:pPr>
      <w:spacing w:before="25" w:after="25"/>
    </w:pPr>
    <w:rPr>
      <w:bCs/>
      <w:spacing w:val="10"/>
    </w:rPr>
  </w:style>
  <w:style w:type="character" w:customStyle="1" w:styleId="12">
    <w:name w:val="页眉 字符"/>
    <w:basedOn w:val="10"/>
    <w:link w:val="8"/>
    <w:qFormat/>
    <w:uiPriority w:val="99"/>
    <w:rPr>
      <w:rFonts w:ascii="Times New Roman" w:hAnsi="Times New Roman" w:eastAsia="宋体" w:cs="Times New Roman"/>
      <w:sz w:val="18"/>
      <w:szCs w:val="18"/>
    </w:rPr>
  </w:style>
  <w:style w:type="character" w:customStyle="1" w:styleId="13">
    <w:name w:val="页脚 字符"/>
    <w:basedOn w:val="10"/>
    <w:link w:val="7"/>
    <w:qFormat/>
    <w:uiPriority w:val="99"/>
    <w:rPr>
      <w:rFonts w:ascii="Times New Roman" w:hAnsi="Times New Roman" w:eastAsia="宋体" w:cs="Times New Roman"/>
      <w:sz w:val="18"/>
      <w:szCs w:val="18"/>
    </w:rPr>
  </w:style>
  <w:style w:type="character" w:customStyle="1" w:styleId="14">
    <w:name w:val="批注框文本 字符"/>
    <w:basedOn w:val="10"/>
    <w:link w:val="6"/>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customStyle="1" w:styleId="16">
    <w:name w:val="_Style 2"/>
    <w:basedOn w:val="1"/>
    <w:qFormat/>
    <w:uiPriority w:val="34"/>
    <w:pPr>
      <w:ind w:firstLine="420" w:firstLineChars="200"/>
    </w:pPr>
    <w:rPr>
      <w:rFonts w:ascii="Calibri" w:hAnsi="Calibri"/>
      <w:sz w:val="24"/>
      <w:szCs w:val="22"/>
    </w:rPr>
  </w:style>
  <w:style w:type="paragraph" w:customStyle="1" w:styleId="17">
    <w:name w:val="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character" w:customStyle="1" w:styleId="18">
    <w:name w:val="正文文本缩进 字符"/>
    <w:basedOn w:val="10"/>
    <w:link w:val="5"/>
    <w:qFormat/>
    <w:uiPriority w:val="0"/>
    <w:rPr>
      <w:rFonts w:ascii="宋体" w:hAnsi="Times New Roman" w:eastAsia="宋体" w:cs="Times New Roman"/>
      <w:kern w:val="2"/>
    </w:rPr>
  </w:style>
  <w:style w:type="paragraph" w:styleId="1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1042</Words>
  <Characters>5942</Characters>
  <Lines>49</Lines>
  <Paragraphs>13</Paragraphs>
  <TotalTime>7</TotalTime>
  <ScaleCrop>false</ScaleCrop>
  <LinksUpToDate>false</LinksUpToDate>
  <CharactersWithSpaces>6971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2020-09-21T02:05:00Z</dcterms:created>
  <dc:creator>微软用户</dc:creator>
  <cp:lastModifiedBy>郭力</cp:lastModifiedBy>
  <dcterms:modified xsi:type="dcterms:W3CDTF">2021-05-17T01:34:54Z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D16FE6E9314D439686BAC4878AAD0864</vt:lpwstr>
  </property>
</Properties>
</file>