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0338-2021-EO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重庆市同讯电力实业有限公司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E:19.09.01,19.09.02,28.04.02</w:t>
            </w:r>
          </w:p>
          <w:p>
            <w:pPr>
              <w:spacing w:line="240" w:lineRule="exact"/>
              <w:jc w:val="center"/>
              <w:rPr>
                <w:b/>
                <w:color w:val="000000"/>
                <w:sz w:val="20"/>
                <w:szCs w:val="20"/>
              </w:rPr>
            </w:pPr>
            <w:r>
              <w:rPr>
                <w:b/>
                <w:color w:val="000000"/>
                <w:sz w:val="20"/>
                <w:szCs w:val="20"/>
              </w:rPr>
              <w:t>O:19.09.01,19.09.02,28.04.02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E:19.09.01,19.09.02</w:t>
            </w:r>
          </w:p>
          <w:p>
            <w:pPr>
              <w:spacing w:line="240" w:lineRule="exact"/>
              <w:jc w:val="center"/>
              <w:rPr>
                <w:b/>
                <w:color w:val="000000"/>
                <w:sz w:val="20"/>
                <w:szCs w:val="20"/>
              </w:rPr>
            </w:pPr>
            <w:r>
              <w:rPr>
                <w:b/>
                <w:color w:val="000000"/>
                <w:sz w:val="20"/>
                <w:szCs w:val="20"/>
              </w:rPr>
              <w:t>O:19.09.01,19.09.02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重庆市同讯电力实业有限公司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重庆市涪陵区新城区鹤凤大道6号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重庆市涪陵区新城区鹤凤大道27号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刘小娟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18290325545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陆长青</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杨元德</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E：高压成套开关设备和箱式变电站的生产；资质许可范围内低压成套开关设备的生产；电力工程施工、安装、检修、试验所涉及场所的相关环境管理活动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O：高压成套开关设备和箱式变电站的生产；资质许可范围内低压成套开关设备的生产；电力工程施工、安装、检修、试验所涉及场所的相关职业健康安全管理活动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E：19.09.01;19.09.02;28.04.02</w:t>
            </w:r>
          </w:p>
          <w:p>
            <w:pPr>
              <w:spacing w:line="280" w:lineRule="exact"/>
              <w:rPr>
                <w:rFonts w:ascii="宋体"/>
                <w:b/>
                <w:color w:val="000000"/>
                <w:sz w:val="20"/>
                <w:szCs w:val="20"/>
              </w:rPr>
            </w:pPr>
            <w:r>
              <w:rPr>
                <w:rFonts w:ascii="宋体"/>
                <w:b/>
                <w:color w:val="000000"/>
                <w:sz w:val="20"/>
                <w:szCs w:val="20"/>
              </w:rPr>
              <w:t>O：19.09.01;19.09.02;28.04.02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val="en-US" w:eastAsia="zh-CN"/>
        </w:rPr>
        <w:t>综合</w:t>
      </w:r>
      <w:r>
        <w:rPr>
          <w:rFonts w:hint="eastAsia" w:ascii="宋体" w:hAnsi="宋体"/>
          <w:szCs w:val="21"/>
        </w:rPr>
        <w:t>部、生产部、</w:t>
      </w:r>
      <w:r>
        <w:rPr>
          <w:rFonts w:hint="eastAsia" w:ascii="宋体" w:hAnsi="宋体"/>
          <w:szCs w:val="21"/>
          <w:lang w:val="en-US" w:eastAsia="zh-CN"/>
        </w:rPr>
        <w:t>工程</w:t>
      </w:r>
      <w:r>
        <w:rPr>
          <w:rFonts w:hint="eastAsia" w:ascii="宋体" w:hAnsi="宋体"/>
          <w:szCs w:val="21"/>
        </w:rPr>
        <w:t>部、</w:t>
      </w:r>
      <w:r>
        <w:rPr>
          <w:rFonts w:hint="eastAsia" w:ascii="宋体" w:hAnsi="宋体"/>
          <w:szCs w:val="21"/>
          <w:lang w:val="en-US" w:eastAsia="zh-CN"/>
        </w:rPr>
        <w:t>业务</w:t>
      </w:r>
      <w:r>
        <w:rPr>
          <w:rFonts w:hint="eastAsia" w:ascii="宋体" w:hAnsi="宋体"/>
          <w:szCs w:val="21"/>
        </w:rPr>
        <w:t>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生产车间、服务场所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color w:val="000000"/>
                <w:szCs w:val="21"/>
              </w:rPr>
            </w:pPr>
            <w:r>
              <w:rPr>
                <w:rFonts w:hint="eastAsia" w:ascii="宋体" w:hAnsi="宋体"/>
                <w:b/>
                <w:color w:val="000000"/>
                <w:sz w:val="20"/>
                <w:szCs w:val="20"/>
              </w:rPr>
              <w:t>产品：</w:t>
            </w:r>
            <w:r>
              <w:rPr>
                <w:rFonts w:hint="eastAsia" w:ascii="宋体" w:hAnsi="宋体"/>
                <w:szCs w:val="21"/>
              </w:rPr>
              <w:t>高压成套开关设备和箱式变电站的生产；资质许可范围内低压成套开关设备的生产；电力工程施工、安装、检修、试验所涉及场所的相关环境管理活动</w:t>
            </w: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val="en-US" w:eastAsia="zh-CN"/>
              </w:rPr>
              <w:t>综合</w:t>
            </w:r>
            <w:r>
              <w:rPr>
                <w:rFonts w:hint="eastAsia" w:ascii="宋体" w:hAnsi="宋体"/>
                <w:szCs w:val="21"/>
              </w:rPr>
              <w:t>部、生产部、</w:t>
            </w:r>
            <w:r>
              <w:rPr>
                <w:rFonts w:hint="eastAsia" w:ascii="宋体" w:hAnsi="宋体"/>
                <w:szCs w:val="21"/>
                <w:lang w:val="en-US" w:eastAsia="zh-CN"/>
              </w:rPr>
              <w:t>工程</w:t>
            </w:r>
            <w:r>
              <w:rPr>
                <w:rFonts w:hint="eastAsia" w:ascii="宋体" w:hAnsi="宋体"/>
                <w:szCs w:val="21"/>
              </w:rPr>
              <w:t>部、</w:t>
            </w:r>
            <w:r>
              <w:rPr>
                <w:rFonts w:hint="eastAsia" w:ascii="宋体" w:hAnsi="宋体"/>
                <w:szCs w:val="21"/>
                <w:lang w:val="en-US" w:eastAsia="zh-CN"/>
              </w:rPr>
              <w:t>业务</w:t>
            </w:r>
            <w:r>
              <w:rPr>
                <w:rFonts w:hint="eastAsia" w:ascii="宋体" w:hAnsi="宋体"/>
                <w:szCs w:val="21"/>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lang w:val="en-US" w:eastAsia="zh-CN"/>
              </w:rPr>
              <w:t>综合</w:t>
            </w:r>
            <w:r>
              <w:rPr>
                <w:rFonts w:hint="eastAsia" w:ascii="宋体" w:hAnsi="宋体"/>
                <w:szCs w:val="21"/>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szCs w:val="21"/>
                <w:lang w:val="en-US" w:eastAsia="zh-CN"/>
              </w:rPr>
              <w:t>综合</w:t>
            </w:r>
            <w:r>
              <w:rPr>
                <w:rFonts w:hint="eastAsia" w:ascii="宋体" w:hAnsi="宋体"/>
                <w:szCs w:val="21"/>
              </w:rPr>
              <w:t>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lang w:val="en-US" w:eastAsia="zh-CN"/>
              </w:rPr>
              <w:t>综合</w:t>
            </w:r>
            <w:r>
              <w:rPr>
                <w:rFonts w:hint="eastAsia" w:ascii="宋体" w:hAnsi="宋体"/>
                <w:szCs w:val="21"/>
              </w:rPr>
              <w:t>部、生产部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1个</w:t>
            </w:r>
            <w:r>
              <w:rPr>
                <w:rFonts w:hint="eastAsia" w:ascii="宋体" w:hAnsi="宋体"/>
                <w:szCs w:val="21"/>
              </w:rPr>
              <w:t>重庆市武藏涂料有限公司/长寿区化北二路二号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重庆市涪陵区新城区鹤凤大道27号</w:t>
            </w:r>
            <w:bookmarkEnd w:id="24"/>
          </w:p>
          <w:p>
            <w:pPr>
              <w:tabs>
                <w:tab w:val="left" w:pos="360"/>
              </w:tabs>
              <w:ind w:left="357" w:hanging="357"/>
              <w:rPr>
                <w:rFonts w:ascii="宋体"/>
                <w:color w:val="000000"/>
                <w:sz w:val="20"/>
                <w:szCs w:val="20"/>
                <w:highlight w:val="yellow"/>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w:t>
            </w:r>
            <w:r>
              <w:rPr>
                <w:rFonts w:hint="eastAsia" w:ascii="宋体" w:hAnsi="宋体"/>
                <w:color w:val="000000"/>
                <w:sz w:val="20"/>
                <w:szCs w:val="20"/>
                <w:highlight w:val="none"/>
              </w:rPr>
              <w:t>房</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ascii="宋体"/>
                <w:color w:val="000000"/>
                <w:sz w:val="20"/>
                <w:szCs w:val="20"/>
              </w:rPr>
            </w:pPr>
            <w:r>
              <w:rPr>
                <w:rFonts w:hint="eastAsia" w:ascii="宋体"/>
                <w:color w:val="000000"/>
                <w:sz w:val="20"/>
                <w:szCs w:val="20"/>
              </w:rPr>
              <w:t>其他资质：</w:t>
            </w:r>
            <w:r>
              <w:rPr>
                <w:rFonts w:hint="eastAsia"/>
                <w:color w:val="000000"/>
                <w:szCs w:val="21"/>
                <w:lang w:val="en-US" w:eastAsia="zh-CN"/>
              </w:rPr>
              <w:t>建筑业企业资质证书：证书编号D350088298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是否有环境影响评价报告或环境影响评价表批复</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是否有环境影响评价验收</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highlight w:val="none"/>
              </w:rPr>
            </w:pPr>
            <w:r>
              <w:rPr>
                <w:rFonts w:hint="eastAsia" w:ascii="宋体"/>
                <w:color w:val="000000" w:themeColor="text1"/>
                <w:sz w:val="20"/>
                <w:szCs w:val="20"/>
                <w:highlight w:val="none"/>
              </w:rPr>
              <w:t>环境影响评价报告与企业申请认证范围是否一致</w:t>
            </w:r>
            <w:r>
              <w:rPr>
                <w:rFonts w:hint="eastAsia" w:ascii="宋体" w:hAnsi="宋体"/>
                <w:color w:val="000000" w:themeColor="text1"/>
                <w:spacing w:val="-10"/>
                <w:sz w:val="20"/>
                <w:szCs w:val="20"/>
                <w:highlight w:val="none"/>
              </w:rPr>
              <w:sym w:font="Wingdings 2" w:char="0052"/>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否</w:t>
            </w:r>
            <w:r>
              <w:rPr>
                <w:rFonts w:hint="eastAsia" w:ascii="宋体" w:hAnsi="宋体"/>
                <w:color w:val="000000" w:themeColor="text1"/>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highlight w:val="none"/>
              </w:rPr>
            </w:pPr>
            <w:r>
              <w:rPr>
                <w:rFonts w:hint="eastAsia" w:ascii="宋体"/>
                <w:color w:val="000000" w:themeColor="text1"/>
                <w:sz w:val="20"/>
                <w:szCs w:val="20"/>
                <w:highlight w:val="none"/>
              </w:rPr>
              <w:t>是否有排污许可证</w:t>
            </w:r>
            <w:r>
              <w:rPr>
                <w:rFonts w:hint="eastAsia" w:ascii="宋体" w:hAnsi="宋体"/>
                <w:color w:val="000000" w:themeColor="text1"/>
                <w:spacing w:val="-10"/>
                <w:sz w:val="20"/>
                <w:szCs w:val="20"/>
                <w:highlight w:val="none"/>
              </w:rPr>
              <w:sym w:font="Wingdings 2" w:char="0052"/>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否</w:t>
            </w:r>
            <w:r>
              <w:rPr>
                <w:rFonts w:hint="eastAsia" w:ascii="宋体" w:hAnsi="宋体"/>
                <w:color w:val="000000" w:themeColor="text1"/>
                <w:spacing w:val="-10"/>
                <w:sz w:val="20"/>
                <w:szCs w:val="20"/>
                <w:highlight w:val="none"/>
              </w:rPr>
              <w:t>□不适用</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FF0000"/>
                <w:sz w:val="20"/>
                <w:szCs w:val="20"/>
                <w:highlight w:val="none"/>
              </w:rPr>
            </w:pPr>
            <w:r>
              <w:rPr>
                <w:rFonts w:hint="eastAsia" w:ascii="宋体"/>
                <w:color w:val="000000" w:themeColor="text1"/>
                <w:sz w:val="20"/>
                <w:szCs w:val="20"/>
                <w:highlight w:val="none"/>
              </w:rPr>
              <w:t>是否提供近期环境监测报告</w:t>
            </w:r>
            <w:r>
              <w:rPr>
                <w:rFonts w:hint="eastAsia" w:ascii="宋体" w:hAnsi="宋体"/>
                <w:color w:val="000000" w:themeColor="text1"/>
                <w:spacing w:val="-10"/>
                <w:sz w:val="20"/>
                <w:szCs w:val="20"/>
                <w:highlight w:val="none"/>
              </w:rPr>
              <w:sym w:font="Wingdings 2" w:char="0052"/>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否</w:t>
            </w:r>
            <w:r>
              <w:rPr>
                <w:rFonts w:hint="eastAsia" w:ascii="宋体" w:hAnsi="宋体"/>
                <w:color w:val="000000" w:themeColor="text1"/>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spacing w:line="400" w:lineRule="exact"/>
              <w:rPr>
                <w:rFonts w:ascii="宋体"/>
                <w:color w:val="000000"/>
                <w:sz w:val="20"/>
                <w:szCs w:val="20"/>
                <w:highlight w:val="none"/>
              </w:rPr>
            </w:pPr>
            <w:r>
              <w:rPr>
                <w:rFonts w:hint="eastAsia" w:ascii="宋体"/>
                <w:color w:val="000000"/>
                <w:sz w:val="20"/>
                <w:szCs w:val="20"/>
                <w:highlight w:val="none"/>
              </w:rPr>
              <w:t>环境执行标准：</w:t>
            </w:r>
            <w:r>
              <w:rPr>
                <w:rFonts w:hint="eastAsia" w:ascii="宋体" w:hAnsi="宋体" w:eastAsia="宋体" w:cs="Times New Roman"/>
                <w:szCs w:val="21"/>
                <w:highlight w:val="none"/>
              </w:rPr>
              <w:t>《污水综合排放标准》(GB</w:t>
            </w:r>
            <w:r>
              <w:rPr>
                <w:rFonts w:hint="eastAsia" w:ascii="宋体" w:hAnsi="宋体" w:eastAsia="宋体" w:cs="Times New Roman"/>
                <w:szCs w:val="21"/>
                <w:highlight w:val="none"/>
                <w:lang w:val="en-US" w:eastAsia="zh-CN"/>
              </w:rPr>
              <w:t>8978-1996</w:t>
            </w:r>
            <w:r>
              <w:rPr>
                <w:rFonts w:hint="eastAsia" w:ascii="宋体" w:hAnsi="宋体" w:eastAsia="宋体" w:cs="Times New Roman"/>
                <w:szCs w:val="21"/>
                <w:highlight w:val="none"/>
              </w:rPr>
              <w:t>)三级</w:t>
            </w:r>
            <w:r>
              <w:rPr>
                <w:rFonts w:hint="eastAsia" w:ascii="宋体" w:hAnsi="宋体" w:eastAsia="宋体" w:cs="Times New Roman"/>
                <w:szCs w:val="21"/>
                <w:highlight w:val="none"/>
                <w:lang w:val="en-US" w:eastAsia="zh-CN"/>
              </w:rPr>
              <w:t>标准</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城镇污水处理厂污染物排放标准</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GB18918-2002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一级B标准;《工业炉窑大气污染物排放标准》（DB50/659-2016）；《重庆市大气污染物综合排放标准》（DB50/418-2016）；《工业企业厂界环境噪声排放标准》（GB12348-2008）3类标准等。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themeColor="text1"/>
                <w:sz w:val="20"/>
                <w:szCs w:val="20"/>
                <w:highlight w:val="none"/>
              </w:rPr>
            </w:pPr>
            <w:r>
              <w:rPr>
                <w:rFonts w:hint="eastAsia" w:ascii="宋体"/>
                <w:color w:val="000000" w:themeColor="text1"/>
                <w:sz w:val="20"/>
                <w:szCs w:val="20"/>
                <w:highlight w:val="none"/>
              </w:rPr>
              <w:t>是否有安全预评价报告，</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否</w:t>
            </w:r>
            <w:r>
              <w:rPr>
                <w:rFonts w:hint="eastAsia" w:ascii="宋体" w:hAnsi="宋体"/>
                <w:color w:val="000000" w:themeColor="text1"/>
                <w:spacing w:val="-10"/>
                <w:sz w:val="20"/>
                <w:szCs w:val="20"/>
                <w:highlight w:val="none"/>
              </w:rPr>
              <w:sym w:font="Wingdings 2" w:char="0052"/>
            </w:r>
            <w:r>
              <w:rPr>
                <w:rFonts w:hint="eastAsia" w:ascii="宋体" w:hAnsi="宋体"/>
                <w:color w:val="000000" w:themeColor="text1"/>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themeColor="text1"/>
                <w:sz w:val="20"/>
                <w:szCs w:val="20"/>
                <w:highlight w:val="none"/>
              </w:rPr>
            </w:pPr>
            <w:r>
              <w:rPr>
                <w:rFonts w:hint="eastAsia" w:ascii="宋体"/>
                <w:color w:val="000000" w:themeColor="text1"/>
                <w:sz w:val="20"/>
                <w:szCs w:val="20"/>
                <w:highlight w:val="none"/>
              </w:rPr>
              <w:t>是否有安全现状评价报告，</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是</w:t>
            </w:r>
            <w:r>
              <w:rPr>
                <w:rFonts w:hint="eastAsia" w:ascii="宋体" w:hAnsi="宋体"/>
                <w:color w:val="000000" w:themeColor="text1"/>
                <w:spacing w:val="-10"/>
                <w:sz w:val="20"/>
                <w:szCs w:val="20"/>
                <w:highlight w:val="none"/>
              </w:rPr>
              <w:t>□</w:t>
            </w:r>
            <w:r>
              <w:rPr>
                <w:rFonts w:hint="eastAsia" w:ascii="宋体" w:hAnsi="宋体"/>
                <w:color w:val="000000" w:themeColor="text1"/>
                <w:sz w:val="20"/>
                <w:szCs w:val="20"/>
                <w:highlight w:val="none"/>
              </w:rPr>
              <w:t>否</w:t>
            </w:r>
            <w:r>
              <w:rPr>
                <w:rFonts w:hint="eastAsia" w:ascii="宋体" w:hAnsi="宋体"/>
                <w:color w:val="000000" w:themeColor="text1"/>
                <w:spacing w:val="-10"/>
                <w:sz w:val="20"/>
                <w:szCs w:val="20"/>
                <w:highlight w:val="none"/>
              </w:rPr>
              <w:sym w:font="Wingdings 2" w:char="0052"/>
            </w:r>
            <w:r>
              <w:rPr>
                <w:rFonts w:hint="eastAsia" w:ascii="宋体" w:hAnsi="宋体"/>
                <w:color w:val="000000" w:themeColor="text1"/>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是否有消防验收报告</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sym w:font="Wingdings 2" w:char="0052"/>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是否申报职业危害场所</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ascii="宋体"/>
                <w:color w:val="000000" w:themeColor="text1"/>
                <w:sz w:val="20"/>
                <w:szCs w:val="20"/>
              </w:rPr>
            </w:pPr>
            <w:r>
              <w:rPr>
                <w:rFonts w:hint="eastAsia" w:ascii="宋体"/>
                <w:color w:val="000000" w:themeColor="text1"/>
                <w:sz w:val="20"/>
                <w:szCs w:val="20"/>
              </w:rPr>
              <w:t>执行标准：</w:t>
            </w:r>
            <w:r>
              <w:rPr>
                <w:rFonts w:hint="eastAsia" w:ascii="宋体" w:hAnsi="宋体" w:eastAsia="宋体" w:cs="Times New Roman"/>
                <w:color w:val="000000" w:themeColor="text1"/>
                <w:szCs w:val="21"/>
              </w:rPr>
              <w:t>中华人民共和国安全消防法、中华人民共和国劳动合同法、中华人民共和国安全生产法等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是否接受了行政主管部门的检查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否</w:t>
            </w:r>
          </w:p>
          <w:p>
            <w:pPr>
              <w:rPr>
                <w:rFonts w:ascii="宋体"/>
                <w:color w:val="000000" w:themeColor="text1"/>
                <w:sz w:val="20"/>
                <w:szCs w:val="20"/>
              </w:rPr>
            </w:pPr>
            <w:r>
              <w:rPr>
                <w:rFonts w:hint="eastAsia" w:ascii="宋体" w:hAnsi="宋体"/>
                <w:color w:val="000000" w:themeColor="text1"/>
                <w:sz w:val="20"/>
                <w:szCs w:val="20"/>
              </w:rPr>
              <w:t>是否列入当地政府黑名单</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sym w:font="Wingdings 2" w:char="0052"/>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生产</w:t>
            </w:r>
            <w:r>
              <w:rPr>
                <w:rFonts w:hint="eastAsia" w:ascii="宋体" w:hAnsi="宋体" w:eastAsia="宋体" w:cs="宋体"/>
                <w:color w:val="auto"/>
                <w:sz w:val="20"/>
                <w:szCs w:val="20"/>
                <w:highlight w:val="none"/>
              </w:rPr>
              <w:t>流程图:</w:t>
            </w:r>
          </w:p>
          <w:p>
            <w:pPr>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钣金加工、柜体加工—组装（一次装配，二测装配）—调试检验—包装</w:t>
            </w:r>
            <w:r>
              <w:rPr>
                <w:rFonts w:hint="eastAsia" w:ascii="宋体" w:hAnsi="宋体" w:eastAsia="宋体" w:cs="宋体"/>
                <w:color w:val="auto"/>
                <w:sz w:val="20"/>
                <w:szCs w:val="20"/>
                <w:highlight w:val="none"/>
              </w:rPr>
              <w:t>。</w:t>
            </w:r>
          </w:p>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施工流程：</w:t>
            </w:r>
          </w:p>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签订合同——施工组织设计——图纸会审——进场报验——技术交底——现场施工——阶段验收——预验收——竣工验收——移交。</w:t>
            </w:r>
          </w:p>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检修、试验流程：</w:t>
            </w:r>
          </w:p>
          <w:p>
            <w:pPr>
              <w:rPr>
                <w:rFonts w:hint="eastAsia" w:ascii="宋体" w:hAnsi="宋体" w:eastAsia="宋体" w:cs="宋体"/>
                <w:color w:val="000000"/>
                <w:sz w:val="20"/>
                <w:szCs w:val="20"/>
                <w:highlight w:val="none"/>
              </w:rPr>
            </w:pPr>
            <w:r>
              <w:rPr>
                <w:rFonts w:hint="eastAsia" w:ascii="宋体" w:hAnsi="宋体" w:eastAsia="宋体" w:cs="宋体"/>
                <w:color w:val="auto"/>
                <w:sz w:val="20"/>
                <w:szCs w:val="20"/>
                <w:highlight w:val="none"/>
              </w:rPr>
              <w:t>投标——合同签订——方案策划——现场考察——实施——验收恢复——出具报告</w:t>
            </w:r>
            <w:r>
              <w:rPr>
                <w:rFonts w:hint="eastAsia" w:ascii="宋体" w:hAnsi="宋体" w:eastAsia="宋体" w:cs="宋体"/>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关键过程有：</w:t>
            </w:r>
            <w:r>
              <w:rPr>
                <w:rFonts w:hint="eastAsia" w:ascii="宋体" w:hAnsi="宋体" w:eastAsia="宋体" w:cs="宋体"/>
                <w:color w:val="auto"/>
                <w:sz w:val="20"/>
                <w:szCs w:val="20"/>
                <w:highlight w:val="none"/>
              </w:rPr>
              <w:t>装配、调试为关键过程。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s="宋体"/>
                <w:color w:val="000000"/>
                <w:sz w:val="20"/>
                <w:szCs w:val="20"/>
              </w:rPr>
            </w:pPr>
            <w:r>
              <w:rPr>
                <w:rFonts w:hint="eastAsia" w:ascii="宋体" w:hAnsi="宋体" w:eastAsia="宋体" w:cs="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s="宋体"/>
                <w:color w:val="000000"/>
                <w:spacing w:val="-10"/>
                <w:sz w:val="20"/>
                <w:szCs w:val="20"/>
              </w:rPr>
            </w:pPr>
            <w:r>
              <w:rPr>
                <w:rFonts w:hint="eastAsia" w:ascii="宋体" w:hAnsi="宋体" w:eastAsia="宋体" w:cs="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s="宋体"/>
                <w:color w:val="000000"/>
                <w:spacing w:val="-10"/>
                <w:sz w:val="20"/>
                <w:szCs w:val="20"/>
              </w:rPr>
            </w:pPr>
            <w:r>
              <w:rPr>
                <w:rFonts w:hint="eastAsia" w:ascii="宋体" w:hAnsi="宋体" w:eastAsia="宋体" w:cs="宋体"/>
                <w:color w:val="000000"/>
                <w:spacing w:val="-10"/>
                <w:sz w:val="20"/>
                <w:szCs w:val="20"/>
              </w:rPr>
              <w:t>是</w:t>
            </w:r>
            <w:r>
              <w:rPr>
                <w:rFonts w:hint="eastAsia" w:ascii="宋体" w:hAnsi="宋体" w:eastAsia="宋体" w:cs="宋体"/>
                <w:color w:val="000000"/>
                <w:sz w:val="20"/>
                <w:szCs w:val="20"/>
              </w:rPr>
              <w:t>否明确了过程的确认方法</w:t>
            </w:r>
            <w:r>
              <w:rPr>
                <w:rFonts w:hint="eastAsia" w:ascii="宋体" w:hAnsi="宋体" w:eastAsia="宋体" w:cs="宋体"/>
                <w:color w:val="000000"/>
                <w:spacing w:val="-10"/>
                <w:sz w:val="20"/>
                <w:szCs w:val="20"/>
              </w:rPr>
              <w:t>□</w:t>
            </w:r>
            <w:r>
              <w:rPr>
                <w:rFonts w:hint="eastAsia" w:ascii="宋体" w:hAnsi="宋体" w:eastAsia="宋体" w:cs="宋体"/>
                <w:color w:val="000000"/>
                <w:sz w:val="20"/>
                <w:szCs w:val="20"/>
              </w:rPr>
              <w:t>是</w:t>
            </w:r>
            <w:r>
              <w:rPr>
                <w:rFonts w:hint="eastAsia" w:ascii="宋体" w:hAnsi="宋体" w:eastAsia="宋体" w:cs="宋体"/>
                <w:color w:val="000000"/>
                <w:spacing w:val="-10"/>
                <w:sz w:val="20"/>
                <w:szCs w:val="20"/>
              </w:rPr>
              <w:t>□</w:t>
            </w:r>
            <w:r>
              <w:rPr>
                <w:rFonts w:hint="eastAsia" w:ascii="宋体" w:hAnsi="宋体" w:eastAsia="宋体" w:cs="宋体"/>
                <w:color w:val="000000"/>
                <w:sz w:val="20"/>
                <w:szCs w:val="20"/>
              </w:rPr>
              <w:t>否</w:t>
            </w:r>
            <w:r>
              <w:rPr>
                <w:rFonts w:hint="eastAsia" w:ascii="宋体" w:hAnsi="宋体" w:eastAsia="宋体" w:cs="宋体"/>
                <w:color w:val="000000"/>
                <w:spacing w:val="-10"/>
                <w:sz w:val="20"/>
                <w:szCs w:val="20"/>
              </w:rPr>
              <w:t>是</w:t>
            </w:r>
            <w:r>
              <w:rPr>
                <w:rFonts w:hint="eastAsia" w:ascii="宋体" w:hAnsi="宋体" w:eastAsia="宋体" w:cs="宋体"/>
                <w:color w:val="000000"/>
                <w:sz w:val="20"/>
                <w:szCs w:val="20"/>
              </w:rPr>
              <w:t>否明确了过程的确认准则</w:t>
            </w:r>
            <w:r>
              <w:rPr>
                <w:rFonts w:hint="eastAsia" w:ascii="宋体" w:hAnsi="宋体" w:eastAsia="宋体" w:cs="宋体"/>
                <w:color w:val="000000"/>
                <w:spacing w:val="-10"/>
                <w:sz w:val="20"/>
                <w:szCs w:val="20"/>
              </w:rPr>
              <w:t>□</w:t>
            </w:r>
            <w:r>
              <w:rPr>
                <w:rFonts w:hint="eastAsia" w:ascii="宋体" w:hAnsi="宋体" w:eastAsia="宋体" w:cs="宋体"/>
                <w:color w:val="000000"/>
                <w:sz w:val="20"/>
                <w:szCs w:val="20"/>
              </w:rPr>
              <w:t>是</w:t>
            </w:r>
            <w:r>
              <w:rPr>
                <w:rFonts w:hint="eastAsia" w:ascii="宋体" w:hAnsi="宋体" w:eastAsia="宋体" w:cs="宋体"/>
                <w:color w:val="000000"/>
                <w:spacing w:val="-10"/>
                <w:sz w:val="20"/>
                <w:szCs w:val="20"/>
              </w:rPr>
              <w:t>□</w:t>
            </w:r>
            <w:r>
              <w:rPr>
                <w:rFonts w:hint="eastAsia" w:ascii="宋体" w:hAnsi="宋体" w:eastAsia="宋体" w:cs="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s="宋体"/>
                <w:color w:val="000000"/>
                <w:spacing w:val="-10"/>
                <w:sz w:val="20"/>
                <w:szCs w:val="20"/>
              </w:rPr>
            </w:pPr>
            <w:r>
              <w:rPr>
                <w:rFonts w:hint="eastAsia" w:ascii="宋体" w:hAnsi="宋体" w:eastAsia="宋体" w:cs="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s="宋体"/>
                <w:color w:val="000000"/>
                <w:sz w:val="20"/>
                <w:szCs w:val="20"/>
              </w:rPr>
            </w:pPr>
            <w:r>
              <w:rPr>
                <w:rFonts w:hint="eastAsia" w:ascii="宋体" w:hAnsi="宋体" w:eastAsia="宋体" w:cs="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eastAsia="宋体" w:cs="宋体"/>
                <w:color w:val="000000"/>
                <w:sz w:val="20"/>
                <w:szCs w:val="20"/>
              </w:rPr>
            </w:pPr>
            <w:r>
              <w:rPr>
                <w:rFonts w:hint="eastAsia" w:ascii="宋体" w:hAnsi="宋体" w:eastAsia="宋体" w:cs="宋体"/>
                <w:color w:val="000000"/>
                <w:sz w:val="20"/>
                <w:szCs w:val="20"/>
              </w:rPr>
              <w:t>主要设备：主要设备为剪板机、激光切割机、折弯机</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吊车、挖机、铲车（主要为租赁）、运输车等设备和变压器试验设备、高压耐压试验设备、直流双比电桥、变压器空载负载测试仪、直流电阻测试装置、兆欧表</w:t>
            </w:r>
            <w:r>
              <w:rPr>
                <w:rFonts w:hint="eastAsia" w:ascii="宋体" w:hAnsi="宋体" w:eastAsia="宋体" w:cs="宋体"/>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eastAsia" w:ascii="宋体" w:hAnsi="宋体" w:eastAsia="宋体" w:cs="宋体"/>
                <w:color w:val="000000"/>
                <w:sz w:val="20"/>
                <w:szCs w:val="20"/>
              </w:rPr>
            </w:pPr>
            <w:r>
              <w:rPr>
                <w:rFonts w:hint="eastAsia" w:ascii="宋体" w:hAnsi="宋体" w:eastAsia="宋体" w:cs="宋体"/>
                <w:color w:val="000000"/>
                <w:sz w:val="20"/>
                <w:szCs w:val="20"/>
              </w:rPr>
              <w:t>设备是否满足要求</w:t>
            </w:r>
            <w:r>
              <w:rPr>
                <w:rFonts w:hint="eastAsia" w:ascii="宋体" w:hAnsi="宋体" w:eastAsia="宋体" w:cs="宋体"/>
                <w:color w:val="000000"/>
                <w:sz w:val="20"/>
                <w:szCs w:val="20"/>
              </w:rPr>
              <w:sym w:font="Wingdings 2" w:char="0052"/>
            </w:r>
            <w:r>
              <w:rPr>
                <w:rFonts w:hint="eastAsia" w:ascii="宋体" w:hAnsi="宋体" w:eastAsia="宋体" w:cs="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eastAsia" w:ascii="宋体" w:hAnsi="宋体" w:eastAsia="宋体" w:cs="宋体"/>
                <w:color w:val="000000"/>
                <w:sz w:val="20"/>
                <w:szCs w:val="20"/>
              </w:rPr>
            </w:pPr>
            <w:r>
              <w:rPr>
                <w:rFonts w:hint="eastAsia" w:ascii="宋体" w:hAnsi="宋体" w:eastAsia="宋体" w:cs="宋体"/>
                <w:color w:val="000000"/>
                <w:sz w:val="20"/>
                <w:szCs w:val="20"/>
              </w:rPr>
              <w:t>特种设备：</w:t>
            </w:r>
            <w:r>
              <w:rPr>
                <w:rFonts w:hint="eastAsia" w:ascii="宋体" w:hAnsi="宋体" w:eastAsia="宋体" w:cs="宋体"/>
                <w:color w:val="000000"/>
                <w:sz w:val="20"/>
                <w:szCs w:val="20"/>
                <w:lang w:val="en-US" w:eastAsia="zh-CN"/>
              </w:rPr>
              <w:t>行车两台，叉车一辆。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s="宋体"/>
                <w:color w:val="000000"/>
                <w:sz w:val="20"/>
                <w:szCs w:val="20"/>
              </w:rPr>
            </w:pPr>
            <w:r>
              <w:rPr>
                <w:rFonts w:hint="eastAsia" w:ascii="宋体" w:hAnsi="宋体" w:eastAsia="宋体" w:cs="宋体"/>
                <w:color w:val="000000"/>
                <w:sz w:val="20"/>
                <w:szCs w:val="20"/>
              </w:rPr>
              <w:t>特种设备是否按规定检定</w:t>
            </w:r>
            <w:r>
              <w:rPr>
                <w:rFonts w:hint="eastAsia" w:ascii="宋体" w:hAnsi="宋体" w:eastAsia="宋体" w:cs="宋体"/>
                <w:color w:val="000000"/>
                <w:sz w:val="20"/>
                <w:szCs w:val="20"/>
              </w:rPr>
              <w:sym w:font="Wingdings 2" w:char="0052"/>
            </w:r>
            <w:r>
              <w:rPr>
                <w:rFonts w:hint="eastAsia" w:ascii="宋体" w:hAnsi="宋体" w:eastAsia="宋体" w:cs="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s="宋体"/>
                <w:color w:val="000000"/>
                <w:sz w:val="20"/>
                <w:szCs w:val="20"/>
              </w:rPr>
            </w:pPr>
            <w:r>
              <w:rPr>
                <w:rFonts w:hint="eastAsia" w:ascii="宋体" w:hAnsi="宋体" w:eastAsia="宋体" w:cs="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eastAsia="宋体" w:cs="宋体"/>
                <w:color w:val="000000"/>
                <w:sz w:val="20"/>
                <w:szCs w:val="20"/>
              </w:rPr>
            </w:pPr>
            <w:r>
              <w:rPr>
                <w:rFonts w:hint="eastAsia" w:ascii="宋体" w:hAnsi="宋体" w:eastAsia="宋体" w:cs="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s="宋体"/>
                <w:color w:val="000000"/>
                <w:sz w:val="20"/>
                <w:szCs w:val="20"/>
              </w:rPr>
            </w:pPr>
            <w:r>
              <w:rPr>
                <w:rFonts w:hint="eastAsia" w:ascii="宋体" w:hAnsi="宋体" w:eastAsia="宋体" w:cs="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hAnsi="Times New Roman" w:eastAsia="宋体" w:cs="Times New Roman"/>
                <w:color w:val="000000"/>
                <w:kern w:val="2"/>
                <w:sz w:val="18"/>
                <w:szCs w:val="18"/>
                <w:lang w:val="en-US" w:eastAsia="zh-CN" w:bidi="ar-SA"/>
              </w:rPr>
            </w:pPr>
            <w:r>
              <w:rPr>
                <w:rFonts w:hint="eastAsia" w:ascii="宋体" w:hAnsi="Times New Roman" w:eastAsia="宋体" w:cs="Times New Roman"/>
                <w:color w:val="000000"/>
                <w:kern w:val="2"/>
                <w:sz w:val="18"/>
                <w:szCs w:val="18"/>
                <w:lang w:val="en-US" w:eastAsia="zh-CN" w:bidi="ar-SA"/>
              </w:rPr>
              <w:t>重要环境因素控制情况（EMS适用）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9479" w:type="dxa"/>
            <w:gridSpan w:val="2"/>
          </w:tcPr>
          <w:p>
            <w:pPr>
              <w:pStyle w:val="15"/>
              <w:tabs>
                <w:tab w:val="center" w:pos="3169"/>
              </w:tabs>
              <w:spacing w:line="400" w:lineRule="exact"/>
              <w:ind w:firstLine="0" w:firstLineChars="0"/>
              <w:jc w:val="left"/>
              <w:rPr>
                <w:rFonts w:hint="eastAsia" w:ascii="宋体" w:hAnsi="Times New Roman" w:eastAsia="宋体" w:cs="Times New Roman"/>
                <w:color w:val="000000"/>
                <w:kern w:val="2"/>
                <w:sz w:val="18"/>
                <w:szCs w:val="18"/>
                <w:lang w:val="en-US" w:eastAsia="zh-CN" w:bidi="ar-SA"/>
              </w:rPr>
            </w:pPr>
            <w:r>
              <w:rPr>
                <w:rFonts w:hint="eastAsia" w:ascii="宋体" w:hAnsi="Times New Roman" w:eastAsia="宋体" w:cs="Times New Roman"/>
                <w:color w:val="000000"/>
                <w:kern w:val="2"/>
                <w:sz w:val="18"/>
                <w:szCs w:val="18"/>
                <w:lang w:val="en-US" w:eastAsia="zh-CN" w:bidi="ar-SA"/>
              </w:rPr>
              <w:t>重要环境因素有：1）火灾；2）固体废弃物的排放；3）噪声的排放。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18"/>
                <w:szCs w:val="18"/>
                <w:lang w:val="en-US" w:eastAsia="zh-CN" w:bidi="ar-SA"/>
              </w:rPr>
            </w:pPr>
            <w:r>
              <w:rPr>
                <w:rFonts w:hint="eastAsia" w:ascii="宋体"/>
                <w:color w:val="000000"/>
                <w:sz w:val="18"/>
                <w:szCs w:val="18"/>
              </w:rPr>
              <w:t>针对重要环境因素建立了运行控制</w:t>
            </w:r>
            <w:r>
              <w:rPr>
                <w:rFonts w:hint="eastAsia" w:ascii="宋体" w:hAnsi="Times New Roman" w:eastAsia="宋体" w:cs="Times New Roman"/>
                <w:color w:val="000000"/>
                <w:sz w:val="18"/>
                <w:szCs w:val="18"/>
              </w:rPr>
              <w:t>程序：有（1）</w:t>
            </w:r>
            <w:r>
              <w:rPr>
                <w:rFonts w:hint="eastAsia" w:ascii="宋体"/>
                <w:sz w:val="18"/>
                <w:szCs w:val="18"/>
                <w:lang w:val="zh-CN"/>
              </w:rPr>
              <w:t>环境因素识别与评价控制程序</w:t>
            </w:r>
            <w:r>
              <w:rPr>
                <w:rFonts w:hint="eastAsia" w:ascii="宋体" w:hAnsi="Times New Roman" w:eastAsia="宋体" w:cs="Times New Roman"/>
                <w:color w:val="000000"/>
                <w:sz w:val="18"/>
                <w:szCs w:val="18"/>
              </w:rPr>
              <w:t>；（2）</w:t>
            </w:r>
            <w:r>
              <w:rPr>
                <w:rFonts w:hint="eastAsia" w:ascii="宋体"/>
                <w:sz w:val="18"/>
                <w:szCs w:val="18"/>
                <w:lang w:val="zh-CN"/>
              </w:rPr>
              <w:t>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18"/>
                <w:szCs w:val="18"/>
                <w:lang w:val="en-US" w:eastAsia="zh-CN" w:bidi="ar-SA"/>
              </w:rPr>
            </w:pPr>
            <w:r>
              <w:rPr>
                <w:rFonts w:hint="eastAsia" w:ascii="宋体"/>
                <w:color w:val="000000"/>
                <w:sz w:val="18"/>
                <w:szCs w:val="18"/>
              </w:rPr>
              <w:t>针对重要环境因素是否明确了监视和测量的要求：有：</w:t>
            </w:r>
            <w:r>
              <w:rPr>
                <w:rFonts w:hint="eastAsia" w:ascii="宋体"/>
                <w:sz w:val="18"/>
                <w:szCs w:val="18"/>
                <w:lang w:val="zh-CN"/>
              </w:rPr>
              <w:t>环境监测控制程序</w:t>
            </w:r>
            <w:r>
              <w:rPr>
                <w:rFonts w:hint="eastAsia" w:asci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18"/>
                <w:szCs w:val="18"/>
                <w:lang w:val="en-US" w:eastAsia="zh-CN" w:bidi="ar-SA"/>
              </w:rPr>
            </w:pPr>
            <w:r>
              <w:rPr>
                <w:rFonts w:hint="eastAsia" w:ascii="宋体"/>
                <w:color w:val="000000"/>
                <w:sz w:val="18"/>
                <w:szCs w:val="18"/>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18"/>
                <w:szCs w:val="18"/>
                <w:lang w:val="en-US" w:eastAsia="zh-CN" w:bidi="ar-SA"/>
              </w:rPr>
            </w:pPr>
            <w:r>
              <w:rPr>
                <w:rFonts w:hint="eastAsia" w:ascii="宋体"/>
                <w:color w:val="000000"/>
                <w:sz w:val="18"/>
                <w:szCs w:val="18"/>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应急预案有：火灾应急预案，安全生产事故应急预案</w:t>
            </w:r>
            <w:r>
              <w:rPr>
                <w:rFonts w:hint="eastAsia" w:ascii="宋体"/>
                <w:color w:val="000000"/>
                <w:sz w:val="20"/>
                <w:szCs w:val="20"/>
                <w:lang w:eastAsia="zh-CN"/>
              </w:rPr>
              <w:t>，公司突发事件应急处置预案</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不可接受风险有：1）火灾；2）触电；3）</w:t>
            </w:r>
            <w:r>
              <w:rPr>
                <w:rFonts w:hint="eastAsia" w:ascii="宋体" w:hAnsi="Times New Roman" w:eastAsia="宋体" w:cs="Times New Roman"/>
                <w:color w:val="000000"/>
                <w:sz w:val="20"/>
                <w:szCs w:val="20"/>
                <w:lang w:val="en-US" w:eastAsia="zh-CN"/>
              </w:rPr>
              <w:t>意外</w:t>
            </w:r>
            <w:r>
              <w:rPr>
                <w:rFonts w:hint="eastAsia" w:ascii="宋体" w:hAnsi="Times New Roman" w:eastAsia="宋体" w:cs="Times New Roman"/>
                <w:color w:val="000000"/>
                <w:sz w:val="20"/>
                <w:szCs w:val="20"/>
              </w:rPr>
              <w:t>伤害</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物体打击、高处坠落、机械伤害、灼烫中毒</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；4）职业病（粉尘、噪声、化学品挥发）。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针对不可接受风险建立了运行控制程序：</w:t>
            </w:r>
            <w:r>
              <w:rPr>
                <w:rFonts w:hint="eastAsia" w:ascii="宋体" w:hAnsi="Times New Roman" w:eastAsia="宋体" w:cs="Times New Roman"/>
                <w:color w:val="000000"/>
                <w:sz w:val="20"/>
                <w:szCs w:val="20"/>
                <w:lang w:val="zh-CN"/>
              </w:rPr>
              <w:t>危险源辩识与风险评价控制程序，施工安全运行控制程序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针对不可接受风险是否明确了监视和测量的要求：</w:t>
            </w:r>
            <w:r>
              <w:rPr>
                <w:rFonts w:hint="eastAsia" w:ascii="宋体" w:hAnsi="Times New Roman" w:eastAsia="宋体" w:cs="Times New Roman"/>
                <w:color w:val="000000"/>
                <w:sz w:val="20"/>
                <w:szCs w:val="20"/>
                <w:lang w:val="zh-CN"/>
              </w:rPr>
              <w:t>职业健康安全绩效监测控制程序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tabs>
                <w:tab w:val="right" w:pos="9263"/>
              </w:tabs>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55</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20</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default" w:ascii="宋体" w:eastAsia="宋体"/>
                <w:b/>
                <w:color w:val="000000"/>
                <w:szCs w:val="21"/>
                <w:lang w:val="en-US" w:eastAsia="zh-CN"/>
              </w:rPr>
            </w:pPr>
            <w:r>
              <w:rPr>
                <w:rFonts w:hint="eastAsia" w:ascii="宋体"/>
                <w:b/>
                <w:color w:val="000000"/>
                <w:szCs w:val="21"/>
                <w:lang w:val="en-US" w:eastAsia="zh-CN"/>
              </w:rPr>
              <w:t>30min</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综合部、工程部、生产部</w:t>
            </w:r>
          </w:p>
          <w:p>
            <w:pPr>
              <w:spacing w:line="260" w:lineRule="exact"/>
              <w:rPr>
                <w:rFonts w:ascii="宋体"/>
                <w:b/>
                <w:color w:val="000000"/>
                <w:sz w:val="20"/>
                <w:szCs w:val="20"/>
              </w:rPr>
            </w:pPr>
            <w:r>
              <w:rPr>
                <w:rFonts w:hint="eastAsia" w:ascii="宋体" w:hAnsi="宋体"/>
                <w:b/>
                <w:color w:val="000000"/>
                <w:sz w:val="20"/>
                <w:szCs w:val="20"/>
              </w:rPr>
              <w:t>重点审核场所：办公场所、生产</w:t>
            </w:r>
            <w:r>
              <w:rPr>
                <w:rFonts w:hint="eastAsia" w:ascii="宋体" w:hAnsi="宋体"/>
                <w:b/>
                <w:color w:val="000000"/>
                <w:sz w:val="20"/>
                <w:szCs w:val="20"/>
                <w:lang w:val="en-US" w:eastAsia="zh-CN"/>
              </w:rPr>
              <w:t>及服务</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综合部、工程部、生产部</w:t>
            </w:r>
          </w:p>
          <w:p>
            <w:pPr>
              <w:spacing w:line="260" w:lineRule="exact"/>
              <w:rPr>
                <w:rFonts w:ascii="宋体"/>
                <w:b/>
                <w:color w:val="000000"/>
                <w:sz w:val="20"/>
                <w:szCs w:val="20"/>
              </w:rPr>
            </w:pPr>
            <w:r>
              <w:rPr>
                <w:rFonts w:hint="eastAsia" w:ascii="宋体" w:hAnsi="宋体"/>
                <w:b/>
                <w:color w:val="000000"/>
                <w:sz w:val="20"/>
                <w:szCs w:val="20"/>
              </w:rPr>
              <w:t>重点审核场所：办公场所、生产</w:t>
            </w:r>
            <w:r>
              <w:rPr>
                <w:rFonts w:hint="eastAsia" w:ascii="宋体" w:hAnsi="宋体"/>
                <w:b/>
                <w:color w:val="000000"/>
                <w:sz w:val="20"/>
                <w:szCs w:val="20"/>
                <w:lang w:val="en-US" w:eastAsia="zh-CN"/>
              </w:rPr>
              <w:t>及服务</w:t>
            </w:r>
            <w:r>
              <w:rPr>
                <w:rFonts w:hint="eastAsia" w:ascii="宋体" w:hAnsi="宋体"/>
                <w:b/>
                <w:color w:val="000000"/>
                <w:sz w:val="20"/>
                <w:szCs w:val="20"/>
              </w:rPr>
              <w:t>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，于20</w:t>
            </w:r>
            <w:r>
              <w:rPr>
                <w:rFonts w:hint="eastAsia"/>
                <w:szCs w:val="21"/>
                <w:lang w:val="en-US" w:eastAsia="zh-CN"/>
              </w:rPr>
              <w:t>21</w:t>
            </w:r>
            <w:r>
              <w:rPr>
                <w:rFonts w:hint="eastAsia"/>
                <w:szCs w:val="21"/>
              </w:rPr>
              <w:t>年</w:t>
            </w:r>
            <w:r>
              <w:rPr>
                <w:rFonts w:hint="eastAsia"/>
                <w:szCs w:val="21"/>
                <w:lang w:val="en-US" w:eastAsia="zh-CN"/>
              </w:rPr>
              <w:t>2</w:t>
            </w:r>
            <w:r>
              <w:rPr>
                <w:rFonts w:hint="eastAsia"/>
                <w:szCs w:val="21"/>
              </w:rPr>
              <w:t>月2</w:t>
            </w:r>
            <w:r>
              <w:rPr>
                <w:rFonts w:hint="eastAsia"/>
                <w:szCs w:val="21"/>
                <w:lang w:val="en-US" w:eastAsia="zh-CN"/>
              </w:rPr>
              <w:t>5</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rPr>
              <w:t>杨元德</w:t>
            </w:r>
            <w:r>
              <w:rPr>
                <w:rFonts w:hint="eastAsia"/>
                <w:szCs w:val="21"/>
              </w:rPr>
              <w:t>（组长）、</w:t>
            </w:r>
            <w:r>
              <w:rPr>
                <w:rFonts w:hint="eastAsia" w:ascii="宋体" w:hAnsi="宋体"/>
                <w:szCs w:val="21"/>
                <w:lang w:eastAsia="zh-CN"/>
              </w:rPr>
              <w:t>刘小娟</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rPr>
              <w:t>ISO45001:2018标准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rPr>
              <w:t>ISO45001:2018标准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15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b/>
          <w:color w:val="000000"/>
          <w:sz w:val="20"/>
          <w:szCs w:val="20"/>
        </w:rPr>
      </w:pPr>
      <w:r>
        <w:rPr>
          <w:rFonts w:ascii="宋体" w:hAnsi="宋体"/>
          <w:b/>
          <w:color w:val="000000"/>
          <w:sz w:val="20"/>
          <w:szCs w:val="20"/>
        </w:rPr>
        <w:t>QMS:____________________________________________________________</w:t>
      </w:r>
    </w:p>
    <w:p>
      <w:pPr>
        <w:spacing w:line="300" w:lineRule="auto"/>
        <w:ind w:firstLine="201" w:firstLineChars="100"/>
        <w:rPr>
          <w:rFonts w:hint="eastAsia" w:ascii="宋体" w:hAnsi="宋体"/>
          <w:szCs w:val="21"/>
          <w:u w:val="single"/>
        </w:rPr>
      </w:pPr>
      <w:r>
        <w:rPr>
          <w:rFonts w:ascii="宋体" w:hAnsi="宋体"/>
          <w:b/>
          <w:color w:val="000000"/>
          <w:sz w:val="20"/>
          <w:szCs w:val="20"/>
          <w:u w:val="single"/>
        </w:rPr>
        <w:t>EMS</w:t>
      </w:r>
      <w:r>
        <w:rPr>
          <w:rFonts w:ascii="宋体" w:hAnsi="宋体"/>
          <w:b/>
          <w:color w:val="000000"/>
          <w:sz w:val="20"/>
          <w:szCs w:val="20"/>
          <w:u w:val="single"/>
          <w:lang w:val="en-GB"/>
        </w:rPr>
        <w:t>:</w:t>
      </w:r>
      <w:r>
        <w:rPr>
          <w:rFonts w:hint="eastAsia" w:ascii="宋体" w:hAnsi="宋体"/>
          <w:b/>
          <w:color w:val="000000"/>
          <w:sz w:val="20"/>
          <w:szCs w:val="20"/>
          <w:u w:val="single"/>
          <w:lang w:val="en-US" w:eastAsia="zh-CN"/>
        </w:rPr>
        <w:t xml:space="preserve">   </w:t>
      </w:r>
      <w:r>
        <w:rPr>
          <w:rFonts w:hint="eastAsia" w:ascii="宋体" w:hAnsi="宋体"/>
          <w:szCs w:val="21"/>
          <w:u w:val="single"/>
        </w:rPr>
        <w:t>高压成套开关设备和箱式变电站的生产；资质许可范围内低压成套开关设备的生产；电力工程施工、安装、检修、试验所涉及场所的相关环境管理活动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u w:val="single"/>
        </w:rPr>
        <w:t>OHSMS</w:t>
      </w:r>
      <w:r>
        <w:rPr>
          <w:rFonts w:ascii="宋体" w:hAnsi="宋体"/>
          <w:b/>
          <w:color w:val="000000"/>
          <w:sz w:val="20"/>
          <w:szCs w:val="20"/>
          <w:u w:val="single"/>
          <w:lang w:val="en-GB"/>
        </w:rPr>
        <w:t>:</w:t>
      </w:r>
      <w:r>
        <w:rPr>
          <w:rFonts w:hint="eastAsia" w:ascii="宋体" w:hAnsi="宋体"/>
          <w:b/>
          <w:color w:val="000000"/>
          <w:sz w:val="20"/>
          <w:szCs w:val="20"/>
          <w:u w:val="single"/>
          <w:lang w:val="en-US" w:eastAsia="zh-CN"/>
        </w:rPr>
        <w:t xml:space="preserve">  </w:t>
      </w:r>
      <w:r>
        <w:rPr>
          <w:rFonts w:hint="eastAsia" w:ascii="宋体" w:hAnsi="宋体"/>
          <w:szCs w:val="21"/>
          <w:u w:val="single"/>
        </w:rPr>
        <w:t>高压成套开关设备和箱式变电站的生产；资质许可范围内低压成套开关设备的生产；电力工程施工、安装、检修、试验所涉及场所的相关职业健康安全管理活动</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3360" behindDoc="0" locked="0" layoutInCell="1" allowOverlap="1">
            <wp:simplePos x="0" y="0"/>
            <wp:positionH relativeFrom="column">
              <wp:posOffset>1928495</wp:posOffset>
            </wp:positionH>
            <wp:positionV relativeFrom="paragraph">
              <wp:posOffset>272415</wp:posOffset>
            </wp:positionV>
            <wp:extent cx="388620" cy="360045"/>
            <wp:effectExtent l="0" t="0" r="7620" b="5715"/>
            <wp:wrapNone/>
            <wp:docPr id="1"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45e69cce4380e02713697e955d1ffd9"/>
                    <pic:cNvPicPr>
                      <a:picLocks noChangeAspect="1"/>
                    </pic:cNvPicPr>
                  </pic:nvPicPr>
                  <pic:blipFill>
                    <a:blip r:embed="rId6"/>
                    <a:stretch>
                      <a:fillRect/>
                    </a:stretch>
                  </pic:blipFill>
                  <pic:spPr>
                    <a:xfrm>
                      <a:off x="0" y="0"/>
                      <a:ext cx="388620" cy="36004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3381375</wp:posOffset>
            </wp:positionH>
            <wp:positionV relativeFrom="paragraph">
              <wp:posOffset>206375</wp:posOffset>
            </wp:positionV>
            <wp:extent cx="704215" cy="511175"/>
            <wp:effectExtent l="0" t="0" r="12065" b="6985"/>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7"/>
                    <a:stretch>
                      <a:fillRect/>
                    </a:stretch>
                  </pic:blipFill>
                  <pic:spPr>
                    <a:xfrm>
                      <a:off x="0" y="0"/>
                      <a:ext cx="704215" cy="51117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rPr>
        <w:drawing>
          <wp:anchor distT="0" distB="0" distL="114300" distR="114300" simplePos="0" relativeHeight="251664384" behindDoc="0" locked="0" layoutInCell="1" allowOverlap="1">
            <wp:simplePos x="0" y="0"/>
            <wp:positionH relativeFrom="column">
              <wp:posOffset>2710180</wp:posOffset>
            </wp:positionH>
            <wp:positionV relativeFrom="paragraph">
              <wp:posOffset>97790</wp:posOffset>
            </wp:positionV>
            <wp:extent cx="597535" cy="273050"/>
            <wp:effectExtent l="0" t="0" r="12065" b="1270"/>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87ac17c702f787ebcb7b5ad453f94b0"/>
                    <pic:cNvPicPr>
                      <a:picLocks noChangeAspect="1"/>
                    </pic:cNvPicPr>
                  </pic:nvPicPr>
                  <pic:blipFill>
                    <a:blip r:embed="rId8"/>
                    <a:stretch>
                      <a:fillRect/>
                    </a:stretch>
                  </pic:blipFill>
                  <pic:spPr>
                    <a:xfrm>
                      <a:off x="0" y="0"/>
                      <a:ext cx="597535" cy="273050"/>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1877060</wp:posOffset>
            </wp:positionH>
            <wp:positionV relativeFrom="paragraph">
              <wp:posOffset>36195</wp:posOffset>
            </wp:positionV>
            <wp:extent cx="631190" cy="441325"/>
            <wp:effectExtent l="0" t="0" r="8890" b="635"/>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新文档 2020-01-09 10.59.53_副本.jpg"/>
                    <pic:cNvPicPr>
                      <a:picLocks noChangeAspect="1"/>
                    </pic:cNvPicPr>
                  </pic:nvPicPr>
                  <pic:blipFill>
                    <a:blip r:embed="rId9"/>
                    <a:stretch>
                      <a:fillRect/>
                    </a:stretch>
                  </pic:blipFill>
                  <pic:spPr>
                    <a:xfrm>
                      <a:off x="0" y="0"/>
                      <a:ext cx="631190" cy="44132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2021年04月24日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snapToGrid w:val="0"/>
        <w:spacing w:after="94" w:afterLines="30"/>
        <w:rPr>
          <w:rFonts w:eastAsia="隶书"/>
          <w:color w:val="000000"/>
          <w:sz w:val="28"/>
          <w:szCs w:val="28"/>
        </w:rPr>
      </w:pPr>
      <w:r>
        <w:rPr>
          <w:rFonts w:hint="eastAsia" w:eastAsia="隶书"/>
          <w:color w:val="000000"/>
          <w:sz w:val="28"/>
          <w:szCs w:val="28"/>
        </w:rPr>
        <w:t>受审核方：重庆市同讯电力实业有限公司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drawing>
                <wp:anchor distT="0" distB="0" distL="114300" distR="114300" simplePos="0" relativeHeight="251665408" behindDoc="0" locked="0" layoutInCell="1" allowOverlap="1">
                  <wp:simplePos x="0" y="0"/>
                  <wp:positionH relativeFrom="column">
                    <wp:posOffset>625475</wp:posOffset>
                  </wp:positionH>
                  <wp:positionV relativeFrom="paragraph">
                    <wp:posOffset>165100</wp:posOffset>
                  </wp:positionV>
                  <wp:extent cx="388620" cy="360045"/>
                  <wp:effectExtent l="0" t="0" r="7620" b="5715"/>
                  <wp:wrapNone/>
                  <wp:docPr id="6"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45e69cce4380e02713697e955d1ffd9"/>
                          <pic:cNvPicPr>
                            <a:picLocks noChangeAspect="1"/>
                          </pic:cNvPicPr>
                        </pic:nvPicPr>
                        <pic:blipFill>
                          <a:blip r:embed="rId6"/>
                          <a:stretch>
                            <a:fillRect/>
                          </a:stretch>
                        </pic:blipFill>
                        <pic:spPr>
                          <a:xfrm>
                            <a:off x="0" y="0"/>
                            <a:ext cx="388620" cy="360045"/>
                          </a:xfrm>
                          <a:prstGeom prst="rect">
                            <a:avLst/>
                          </a:prstGeom>
                          <a:noFill/>
                          <a:ln>
                            <a:noFill/>
                          </a:ln>
                        </pic:spPr>
                      </pic:pic>
                    </a:graphicData>
                  </a:graphic>
                </wp:anchor>
              </w:drawing>
            </w: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drawing>
                <wp:anchor distT="0" distB="0" distL="114300" distR="114300" simplePos="0" relativeHeight="251666432" behindDoc="0" locked="0" layoutInCell="1" allowOverlap="1">
                  <wp:simplePos x="0" y="0"/>
                  <wp:positionH relativeFrom="column">
                    <wp:posOffset>738505</wp:posOffset>
                  </wp:positionH>
                  <wp:positionV relativeFrom="paragraph">
                    <wp:posOffset>18415</wp:posOffset>
                  </wp:positionV>
                  <wp:extent cx="373380" cy="346075"/>
                  <wp:effectExtent l="0" t="0" r="7620" b="4445"/>
                  <wp:wrapNone/>
                  <wp:docPr id="7"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5e69cce4380e02713697e955d1ffd9"/>
                          <pic:cNvPicPr>
                            <a:picLocks noChangeAspect="1"/>
                          </pic:cNvPicPr>
                        </pic:nvPicPr>
                        <pic:blipFill>
                          <a:blip r:embed="rId6"/>
                          <a:stretch>
                            <a:fillRect/>
                          </a:stretch>
                        </pic:blipFill>
                        <pic:spPr>
                          <a:xfrm>
                            <a:off x="0" y="0"/>
                            <a:ext cx="373380" cy="346075"/>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FB755C"/>
    <w:rsid w:val="22300783"/>
    <w:rsid w:val="53AE3B23"/>
    <w:rsid w:val="5D26024C"/>
    <w:rsid w:val="7A1C0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2021-04-27T06:15:30Z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D0F663793CC84C05B913DF8E27E409A8</vt:lpwstr>
  </property>
</Properties>
</file>