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bookmarkStart w:id="0" w:name="合同编号"/>
      <w:r>
        <w:rPr>
          <w:rFonts w:hint="eastAsia" w:ascii="宋体" w:hAnsi="宋体"/>
          <w:b/>
          <w:bCs/>
          <w:kern w:val="0"/>
          <w:szCs w:val="21"/>
          <w:u w:val="single"/>
          <w:lang w:val="en-US" w:eastAsia="zh-CN"/>
        </w:rPr>
        <w:t>编号：</w:t>
      </w:r>
      <w:r>
        <w:rPr>
          <w:rFonts w:hint="eastAsia" w:ascii="宋体" w:hAnsi="宋体"/>
          <w:b/>
          <w:bCs/>
          <w:kern w:val="0"/>
          <w:szCs w:val="21"/>
          <w:u w:val="single"/>
        </w:rPr>
        <w:t>0238-2020-EO-2021</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受审核方：成都嘉鹏科技有限公司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E:12.04.01</w:t>
            </w:r>
          </w:p>
          <w:p>
            <w:pPr>
              <w:jc w:val="center"/>
              <w:rPr>
                <w:b/>
                <w:sz w:val="21"/>
                <w:szCs w:val="21"/>
              </w:rPr>
            </w:pPr>
            <w:r>
              <w:rPr>
                <w:b/>
                <w:sz w:val="21"/>
                <w:szCs w:val="21"/>
              </w:rPr>
              <w:t>O:12.04.01</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ascii="黑体" w:hAnsi="黑体" w:eastAsia="黑体" w:cs="黑体"/>
          <w:b/>
          <w:sz w:val="21"/>
          <w:szCs w:val="21"/>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ascii="黑体" w:hAnsi="黑体" w:eastAsia="黑体" w:cs="黑体"/>
          <w:b/>
          <w:sz w:val="21"/>
          <w:szCs w:val="21"/>
        </w:rPr>
        <w:t>■</w:t>
      </w:r>
      <w:r>
        <w:rPr>
          <w:rFonts w:hint="eastAsia"/>
          <w:b/>
          <w:sz w:val="21"/>
          <w:szCs w:val="21"/>
        </w:rPr>
        <w:t>受审核方管理体系文件</w:t>
      </w:r>
      <w:r>
        <w:rPr>
          <w:rFonts w:hint="eastAsia" w:ascii="黑体" w:hAnsi="黑体" w:eastAsia="黑体" w:cs="黑体"/>
          <w:b/>
          <w:sz w:val="21"/>
          <w:szCs w:val="21"/>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hint="eastAsia" w:ascii="宋体" w:hAnsi="宋体"/>
                <w:b/>
                <w:sz w:val="21"/>
              </w:rPr>
              <w:t>成都嘉鹏科技有限公司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成都市青白江区大弯大夫东路69号附7号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610300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成都市青白江区大弯大夫东路69号附7号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成都市青白江区大弯大夫东路69号附7号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610300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文青松</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028-85133884</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r>
              <w:rPr>
                <w:rFonts w:ascii="宋体"/>
                <w:b/>
                <w:sz w:val="21"/>
              </w:rPr>
              <w:t>028-85133884</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朱云先</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戚涛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文青松</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2021年04月29日 上午至2021年04月29日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清洁剂的生产及销售（不涉及行政许可）所涉及场所的相关环境管理活动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清洁剂的生产及销售（不涉及行政许可）所涉及场所的相关职业健康安全管理活动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E：12.04.01</w:t>
            </w:r>
          </w:p>
          <w:p>
            <w:pPr>
              <w:spacing w:line="260" w:lineRule="exact"/>
              <w:rPr>
                <w:rFonts w:ascii="宋体" w:hAnsi="宋体"/>
                <w:b/>
                <w:sz w:val="21"/>
                <w:szCs w:val="21"/>
              </w:rPr>
            </w:pPr>
            <w:r>
              <w:rPr>
                <w:rFonts w:ascii="宋体" w:hAnsi="宋体"/>
                <w:b/>
                <w:sz w:val="21"/>
                <w:szCs w:val="21"/>
              </w:rPr>
              <w:t>O：12.04.01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2023-07-02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 xml:space="preserve">2021-01-20 </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val="en-US" w:eastAsia="zh-CN"/>
              </w:rPr>
              <w:t xml:space="preserve">     </w:t>
            </w:r>
          </w:p>
          <w:p>
            <w:pPr>
              <w:spacing w:line="240" w:lineRule="exact"/>
              <w:jc w:val="left"/>
              <w:rPr>
                <w:rFonts w:hint="default" w:ascii="宋体" w:hAnsi="宋体"/>
                <w:b/>
                <w:sz w:val="21"/>
                <w:szCs w:val="21"/>
                <w:lang w:val="en-US" w:eastAsia="zh-CN"/>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lang w:val="en-US" w:eastAsia="zh-CN"/>
              </w:rPr>
            </w:pPr>
            <w:r>
              <w:rPr>
                <w:rFonts w:hint="eastAsia" w:ascii="宋体" w:hAnsi="宋体"/>
                <w:b/>
                <w:sz w:val="21"/>
                <w:szCs w:val="21"/>
              </w:rPr>
              <w:t>相关方需求和期望识别情况</w:t>
            </w:r>
            <w:r>
              <w:rPr>
                <w:rFonts w:hint="eastAsia" w:ascii="宋体" w:hAnsi="宋体"/>
                <w:b/>
                <w:sz w:val="21"/>
                <w:szCs w:val="21"/>
                <w:lang w:val="en-US" w:eastAsia="zh-CN"/>
              </w:rPr>
              <w:t xml:space="preserve">       </w:t>
            </w:r>
          </w:p>
          <w:p>
            <w:pPr>
              <w:numPr>
                <w:ilvl w:val="0"/>
                <w:numId w:val="0"/>
              </w:numPr>
              <w:spacing w:line="240" w:lineRule="exact"/>
              <w:rPr>
                <w:rFonts w:hint="default" w:ascii="宋体" w:hAnsi="宋体"/>
                <w:b/>
                <w:sz w:val="21"/>
                <w:szCs w:val="21"/>
                <w:lang w:val="en-US" w:eastAsia="zh-CN"/>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lang w:val="en-US" w:eastAsia="zh-CN"/>
              </w:rPr>
            </w:pPr>
            <w:r>
              <w:rPr>
                <w:rFonts w:hint="eastAsia" w:ascii="宋体" w:hAnsi="宋体"/>
                <w:b/>
                <w:sz w:val="21"/>
                <w:szCs w:val="21"/>
              </w:rPr>
              <w:t>□质量</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环境</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b/>
                <w:sz w:val="21"/>
                <w:szCs w:val="21"/>
                <w:lang w:val="en-US" w:eastAsia="zh-CN"/>
              </w:rPr>
              <w:t xml:space="preserve">       </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环境和职业健康安全管理方针：</w:t>
            </w:r>
          </w:p>
          <w:p>
            <w:pPr>
              <w:ind w:left="1195" w:leftChars="498" w:firstLine="540" w:firstLineChars="225"/>
              <w:jc w:val="left"/>
              <w:rPr>
                <w:rFonts w:hint="eastAsia" w:ascii="宋体" w:hAnsi="宋体" w:cs="Times New Roman"/>
                <w:color w:val="000000" w:themeColor="text1"/>
                <w:lang w:val="en-US" w:eastAsia="zh-CN"/>
              </w:rPr>
            </w:pPr>
            <w:r>
              <w:rPr>
                <w:rFonts w:hint="eastAsia" w:ascii="宋体" w:hAnsi="宋体" w:cs="Times New Roman"/>
                <w:color w:val="000000" w:themeColor="text1"/>
              </w:rPr>
              <w:t>“</w:t>
            </w:r>
            <w:r>
              <w:rPr>
                <w:rFonts w:hint="eastAsia" w:ascii="宋体" w:hAnsi="宋体" w:cs="Times New Roman"/>
                <w:color w:val="000000" w:themeColor="text1"/>
                <w:lang w:val="en-US" w:eastAsia="zh-CN"/>
              </w:rPr>
              <w:t>诚实守信，客户至上；真诚合作，实现双赢；</w:t>
            </w:r>
          </w:p>
          <w:p>
            <w:pPr>
              <w:ind w:left="1195" w:leftChars="498" w:firstLine="780" w:firstLineChars="325"/>
              <w:jc w:val="left"/>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遵规守法，预防污染；高效低耗，环保作业；</w:t>
            </w:r>
          </w:p>
          <w:p>
            <w:pPr>
              <w:numPr>
                <w:ilvl w:val="0"/>
                <w:numId w:val="0"/>
              </w:numPr>
              <w:spacing w:line="280" w:lineRule="exact"/>
              <w:ind w:firstLine="1920" w:firstLineChars="800"/>
              <w:rPr>
                <w:rFonts w:hint="default" w:ascii="宋体" w:hAnsi="宋体"/>
                <w:b/>
                <w:sz w:val="21"/>
                <w:szCs w:val="21"/>
                <w:lang w:val="en-US" w:eastAsia="zh-CN"/>
              </w:rPr>
            </w:pPr>
            <w:r>
              <w:rPr>
                <w:rFonts w:hint="eastAsia" w:ascii="宋体" w:hAnsi="宋体" w:cs="Times New Roman"/>
                <w:color w:val="000000" w:themeColor="text1"/>
                <w:lang w:val="en-US" w:eastAsia="zh-CN"/>
              </w:rPr>
              <w:t>安全第一，预防为主；健康向上，共建和谐</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p>
          <w:p>
            <w:pPr>
              <w:spacing w:line="280" w:lineRule="exact"/>
              <w:rPr>
                <w:rFonts w:hint="default" w:ascii="宋体" w:hAnsi="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黑体" w:hAnsi="黑体" w:eastAsia="黑体" w:cs="黑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黑体" w:hAnsi="黑体" w:eastAsia="黑体" w:cs="黑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lang w:val="en-US" w:eastAsia="zh-CN"/>
              </w:rPr>
            </w:pPr>
            <w:r>
              <w:rPr>
                <w:rFonts w:hint="eastAsia" w:ascii="宋体" w:hAnsi="宋体"/>
                <w:b/>
                <w:sz w:val="21"/>
                <w:szCs w:val="21"/>
              </w:rPr>
              <w:t>（职业健康安全危险源辨识是否充分、风险评价合理性，以及风险评价动态变更的及时性等）</w:t>
            </w: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eastAsia="zh-CN"/>
              </w:rPr>
              <w:t>清洁剂的</w:t>
            </w:r>
            <w:r>
              <w:rPr>
                <w:rFonts w:hint="eastAsia" w:ascii="宋体" w:hAnsi="宋体"/>
                <w:szCs w:val="21"/>
              </w:rPr>
              <w:t>生产</w:t>
            </w:r>
            <w:r>
              <w:rPr>
                <w:rFonts w:hint="eastAsia" w:ascii="宋体" w:hAnsi="宋体"/>
                <w:color w:val="000000" w:themeColor="text1"/>
              </w:rPr>
              <w:t>、包装、</w:t>
            </w:r>
            <w:r>
              <w:rPr>
                <w:rFonts w:hint="eastAsia"/>
              </w:rPr>
              <w:t>储存</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黑体" w:hAnsi="黑体" w:eastAsia="黑体" w:cs="黑体"/>
                <w:b/>
                <w:szCs w:val="21"/>
              </w:rPr>
              <w:t>■</w:t>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黑体" w:hAnsi="黑体" w:eastAsia="黑体" w:cs="黑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黑体" w:hAnsi="黑体" w:eastAsia="黑体" w:cs="黑体"/>
                <w:b/>
                <w:szCs w:val="21"/>
              </w:rPr>
              <w:t>■</w:t>
            </w:r>
            <w:r>
              <w:rPr>
                <w:rFonts w:hint="eastAsia" w:ascii="宋体" w:hAnsi="宋体"/>
                <w:b/>
                <w:szCs w:val="21"/>
              </w:rPr>
              <w:t>环境因素</w:t>
            </w:r>
            <w:r>
              <w:rPr>
                <w:rFonts w:hint="eastAsia" w:ascii="黑体" w:hAnsi="黑体" w:eastAsia="黑体" w:cs="黑体"/>
                <w:b/>
                <w:szCs w:val="21"/>
              </w:rPr>
              <w:t>■</w:t>
            </w:r>
            <w:r>
              <w:rPr>
                <w:rFonts w:hint="eastAsia" w:ascii="宋体" w:hAnsi="宋体"/>
                <w:b/>
                <w:szCs w:val="21"/>
              </w:rPr>
              <w:t>危险源，</w:t>
            </w:r>
            <w:r>
              <w:rPr>
                <w:rFonts w:hint="eastAsia" w:ascii="黑体" w:hAnsi="黑体" w:eastAsia="黑体" w:cs="黑体"/>
                <w:b/>
                <w:szCs w:val="21"/>
              </w:rPr>
              <w:t>■</w:t>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Cs w:val="21"/>
              </w:rPr>
              <w:t>培训、会议、张贴。</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8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pStyle w:val="14"/>
              <w:rPr>
                <w:rFonts w:hint="default" w:eastAsia="宋体"/>
                <w:lang w:val="en-US" w:eastAsia="zh-CN"/>
              </w:rPr>
            </w:pPr>
            <w:r>
              <w:t>环境、职业健康安全目标：考核情况（20</w:t>
            </w:r>
            <w:r>
              <w:rPr>
                <w:rFonts w:hint="eastAsia"/>
                <w:lang w:val="en-US" w:eastAsia="zh-CN"/>
              </w:rPr>
              <w:t>20</w:t>
            </w:r>
            <w:r>
              <w:t>年</w:t>
            </w:r>
            <w:r>
              <w:rPr>
                <w:rFonts w:hint="eastAsia"/>
                <w:lang w:val="en-US" w:eastAsia="zh-CN"/>
              </w:rPr>
              <w:t>11</w:t>
            </w:r>
            <w:r>
              <w:t>月-</w:t>
            </w:r>
            <w:r>
              <w:rPr>
                <w:rFonts w:hint="eastAsia"/>
                <w:lang w:val="en-US" w:eastAsia="zh-CN"/>
              </w:rPr>
              <w:t>2021年4</w:t>
            </w:r>
            <w:r>
              <w:t>月）</w:t>
            </w:r>
            <w:r>
              <w:rPr>
                <w:rFonts w:hint="eastAsia"/>
                <w:lang w:val="en-US" w:eastAsia="zh-CN"/>
              </w:rPr>
              <w:t>达到目标要求</w:t>
            </w:r>
          </w:p>
          <w:p>
            <w:pPr>
              <w:spacing w:line="240" w:lineRule="auto"/>
              <w:ind w:firstLine="1470" w:firstLineChars="700"/>
              <w:rPr>
                <w:rFonts w:hint="eastAsia" w:ascii="宋体" w:hAnsi="宋体"/>
                <w:bCs/>
                <w:color w:val="000000"/>
                <w:sz w:val="21"/>
                <w:szCs w:val="21"/>
                <w:lang w:val="en-US" w:eastAsia="zh-CN"/>
              </w:rPr>
            </w:pPr>
            <w:r>
              <w:rPr>
                <w:rFonts w:hint="eastAsia" w:ascii="宋体" w:hAnsi="宋体"/>
                <w:bCs/>
                <w:color w:val="000000"/>
                <w:sz w:val="21"/>
                <w:szCs w:val="21"/>
                <w:lang w:val="en-US" w:eastAsia="zh-CN"/>
              </w:rPr>
              <w:t>1、固体废弃物分类处理率100%；</w:t>
            </w:r>
          </w:p>
          <w:p>
            <w:pPr>
              <w:spacing w:line="240" w:lineRule="auto"/>
              <w:ind w:firstLine="1470" w:firstLineChars="700"/>
              <w:rPr>
                <w:rFonts w:hint="eastAsia" w:ascii="宋体" w:hAnsi="宋体"/>
                <w:bCs/>
                <w:color w:val="000000"/>
                <w:sz w:val="21"/>
                <w:szCs w:val="21"/>
              </w:rPr>
            </w:pPr>
            <w:r>
              <w:rPr>
                <w:rFonts w:hint="eastAsia" w:ascii="宋体" w:hAnsi="宋体"/>
                <w:bCs/>
                <w:color w:val="000000"/>
                <w:sz w:val="21"/>
                <w:szCs w:val="21"/>
                <w:lang w:val="en-US" w:eastAsia="zh-CN"/>
              </w:rPr>
              <w:t>2、火灾触电事故为零；</w:t>
            </w:r>
          </w:p>
          <w:p>
            <w:pPr>
              <w:spacing w:line="240" w:lineRule="auto"/>
              <w:ind w:firstLine="1470" w:firstLineChars="700"/>
              <w:rPr>
                <w:rFonts w:hint="eastAsia" w:ascii="宋体" w:hAnsi="宋体"/>
                <w:bCs/>
                <w:color w:val="000000"/>
                <w:sz w:val="21"/>
                <w:szCs w:val="21"/>
                <w:lang w:val="en-US" w:eastAsia="zh-CN"/>
              </w:rPr>
            </w:pPr>
            <w:r>
              <w:rPr>
                <w:rFonts w:hint="eastAsia" w:ascii="宋体" w:hAnsi="宋体"/>
                <w:bCs/>
                <w:color w:val="000000"/>
                <w:sz w:val="21"/>
                <w:szCs w:val="21"/>
                <w:lang w:val="en-US" w:eastAsia="zh-CN"/>
              </w:rPr>
              <w:t>3、人身伤亡为零</w:t>
            </w:r>
            <w:r>
              <w:rPr>
                <w:rFonts w:hint="eastAsia" w:ascii="宋体" w:hAnsi="宋体"/>
                <w:bCs/>
                <w:color w:val="000000"/>
                <w:sz w:val="21"/>
                <w:szCs w:val="21"/>
                <w:lang w:eastAsia="zh-CN"/>
              </w:rPr>
              <w:t>；</w:t>
            </w:r>
          </w:p>
          <w:p>
            <w:pPr>
              <w:spacing w:line="240" w:lineRule="auto"/>
              <w:ind w:firstLine="1470" w:firstLineChars="700"/>
              <w:rPr>
                <w:rFonts w:ascii="宋体" w:hAnsi="宋体"/>
                <w:b/>
                <w:sz w:val="21"/>
                <w:szCs w:val="21"/>
              </w:rPr>
            </w:pPr>
            <w:r>
              <w:rPr>
                <w:rFonts w:hint="eastAsia" w:ascii="宋体" w:hAnsi="宋体"/>
                <w:bCs/>
                <w:color w:val="000000"/>
                <w:sz w:val="21"/>
                <w:szCs w:val="21"/>
                <w:lang w:val="en-US" w:eastAsia="zh-CN"/>
              </w:rPr>
              <w:t>4、</w:t>
            </w:r>
            <w:r>
              <w:rPr>
                <w:rFonts w:hint="eastAsia" w:ascii="宋体" w:hAnsi="宋体" w:eastAsia="宋体" w:cs="Times New Roman"/>
                <w:bCs/>
                <w:color w:val="000000"/>
                <w:sz w:val="21"/>
                <w:szCs w:val="21"/>
                <w:lang w:val="en-US" w:eastAsia="zh-CN"/>
              </w:rPr>
              <w:t>轻伤事故≤3每年；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月1日予以</w:t>
            </w:r>
            <w:r>
              <w:rPr>
                <w:rFonts w:hint="eastAsia" w:ascii="宋体" w:hAnsi="宋体" w:cs="宋体"/>
                <w:color w:val="000000" w:themeColor="text1"/>
                <w:lang w:eastAsia="zh-CN"/>
              </w:rPr>
              <w:t>修订</w:t>
            </w:r>
            <w:r>
              <w:rPr>
                <w:rFonts w:hint="eastAsia" w:ascii="宋体" w:hAnsi="宋体" w:cs="宋体"/>
                <w:color w:val="000000" w:themeColor="text1"/>
              </w:rPr>
              <w:t>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清洁剂的生产及销售</w:t>
            </w:r>
            <w:r>
              <w:rPr>
                <w:rFonts w:hint="eastAsia" w:ascii="宋体" w:hAnsi="宋体"/>
                <w:szCs w:val="21"/>
                <w:lang w:val="en-US" w:eastAsia="zh-CN"/>
              </w:rPr>
              <w:t>的</w:t>
            </w:r>
            <w:r>
              <w:rPr>
                <w:rFonts w:hint="eastAsia" w:ascii="宋体" w:hAnsi="宋体"/>
                <w:bCs/>
                <w:iCs/>
                <w:szCs w:val="22"/>
              </w:rPr>
              <w:t>运行环境，可以维持管理体系的正常运行。</w:t>
            </w:r>
          </w:p>
          <w:p>
            <w:pPr>
              <w:spacing w:line="300" w:lineRule="exact"/>
              <w:rPr>
                <w:rFonts w:ascii="宋体" w:hAnsi="宋体"/>
                <w:b/>
                <w:sz w:val="21"/>
                <w:szCs w:val="21"/>
              </w:rPr>
            </w:pPr>
            <w:r>
              <w:rPr>
                <w:rFonts w:hint="eastAsia" w:ascii="宋体" w:hAnsi="宋体"/>
                <w:bCs/>
                <w:iCs/>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szCs w:val="21"/>
                <w:highlight w:val="none"/>
              </w:rPr>
              <w:t>办公场所面积500平方左右，生产车间面积</w:t>
            </w:r>
            <w:r>
              <w:rPr>
                <w:rFonts w:hint="eastAsia" w:ascii="宋体" w:hAnsi="宋体"/>
                <w:szCs w:val="21"/>
                <w:highlight w:val="none"/>
                <w:lang w:val="en-US" w:eastAsia="zh-CN"/>
              </w:rPr>
              <w:t>55</w:t>
            </w:r>
            <w:r>
              <w:rPr>
                <w:rFonts w:hint="eastAsia" w:ascii="宋体" w:hAnsi="宋体"/>
                <w:szCs w:val="21"/>
                <w:highlight w:val="none"/>
              </w:rPr>
              <w:t>000平方左右。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lang w:val="en-US" w:eastAsia="zh-CN"/>
              </w:rPr>
              <w:t>液体搅拌罐、粉体搅拌罐、手动液压叉车、除尘设备</w:t>
            </w:r>
            <w:r>
              <w:rPr>
                <w:rFonts w:hint="eastAsia" w:ascii="宋体" w:hAnsi="宋体" w:cs="宋体"/>
                <w:color w:val="000000"/>
                <w:kern w:val="0"/>
                <w:szCs w:val="21"/>
                <w:highlight w:val="none"/>
              </w:rPr>
              <w:t>和</w:t>
            </w:r>
            <w:r>
              <w:rPr>
                <w:rFonts w:hint="eastAsia" w:ascii="宋体" w:hAnsi="宋体" w:cs="宋体"/>
                <w:szCs w:val="21"/>
                <w:highlight w:val="none"/>
              </w:rPr>
              <w:t>电脑、传真机、打印机</w:t>
            </w:r>
            <w:r>
              <w:rPr>
                <w:rFonts w:hint="eastAsia" w:ascii="宋体" w:hAnsi="宋体" w:cs="宋体"/>
                <w:color w:val="000000"/>
                <w:kern w:val="0"/>
                <w:szCs w:val="21"/>
                <w:highlight w:val="none"/>
              </w:rPr>
              <w:t>等设备。</w:t>
            </w:r>
            <w:r>
              <w:rPr>
                <w:rFonts w:hint="eastAsia" w:ascii="宋体" w:hAnsi="宋体"/>
                <w:szCs w:val="21"/>
                <w:highlight w:val="none"/>
              </w:rPr>
              <w:t>可以满足清洁剂的生产及销售的需要</w:t>
            </w:r>
            <w:r>
              <w:rPr>
                <w:rFonts w:hint="eastAsia" w:ascii="宋体" w:hAnsi="宋体" w:cs="宋体"/>
                <w:szCs w:val="21"/>
                <w:highlight w:val="none"/>
              </w:rPr>
              <w:t>。对设备按月方式进行点检维护保养，并实施。特种设备：</w:t>
            </w:r>
            <w:r>
              <w:rPr>
                <w:rFonts w:hint="eastAsia" w:ascii="宋体" w:hAnsi="宋体" w:cs="宋体"/>
                <w:szCs w:val="21"/>
                <w:highlight w:val="none"/>
                <w:lang w:val="en-US" w:eastAsia="zh-CN"/>
              </w:rPr>
              <w:t>无</w:t>
            </w:r>
            <w:r>
              <w:rPr>
                <w:rFonts w:hint="eastAsia" w:ascii="宋体" w:hAnsi="宋体" w:cs="宋体"/>
                <w:szCs w:val="21"/>
                <w:highlight w:val="none"/>
              </w:rPr>
              <w:t>。公司建立有信息管理系统用于生产和服务。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Cs w:val="21"/>
              </w:rPr>
              <w:t>办公、服务场所和内设备布置合理，通道畅通，照明设施齐全，均配备了消防设施等设施。办公室明亮，培训场所光线较充足。每月由</w:t>
            </w:r>
            <w:r>
              <w:rPr>
                <w:rFonts w:hint="eastAsia" w:ascii="宋体" w:hAnsi="宋体" w:cs="宋体"/>
                <w:szCs w:val="21"/>
                <w:lang w:eastAsia="zh-CN"/>
              </w:rPr>
              <w:t>生产技术部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tabs>
                <w:tab w:val="left" w:pos="2552"/>
              </w:tabs>
              <w:spacing w:line="0" w:lineRule="atLeast"/>
              <w:rPr>
                <w:rFonts w:hint="eastAsia" w:ascii="宋体" w:hAnsi="宋体" w:eastAsia="宋体" w:cs="Times New Roman"/>
                <w:bCs/>
                <w:iCs/>
                <w:szCs w:val="22"/>
              </w:rPr>
            </w:pPr>
            <w:r>
              <w:rPr>
                <w:rFonts w:hint="eastAsia" w:ascii="宋体" w:hAnsi="宋体" w:eastAsia="宋体" w:cs="Times New Roman"/>
                <w:bCs/>
                <w:iCs/>
                <w:szCs w:val="22"/>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left" w:pos="2552"/>
              </w:tabs>
              <w:spacing w:line="0" w:lineRule="atLeast"/>
              <w:rPr>
                <w:rFonts w:ascii="宋体" w:hAnsi="宋体"/>
                <w:b/>
                <w:sz w:val="21"/>
                <w:szCs w:val="21"/>
              </w:rPr>
            </w:pPr>
            <w:r>
              <w:rPr>
                <w:rFonts w:hint="eastAsia" w:ascii="宋体" w:hAnsi="宋体" w:eastAsia="宋体" w:cs="Times New Roman"/>
                <w:bCs/>
                <w:iCs/>
                <w:szCs w:val="22"/>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szCs w:val="21"/>
                <w:highlight w:val="none"/>
                <w:lang w:val="en-US" w:eastAsia="zh-CN"/>
              </w:rPr>
              <w:t>布袋除尘装置</w:t>
            </w:r>
            <w:r>
              <w:rPr>
                <w:rFonts w:hint="eastAsia"/>
                <w:szCs w:val="21"/>
                <w:highlight w:val="none"/>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ascii="宋体" w:hAnsi="宋体"/>
                <w:b/>
                <w:sz w:val="21"/>
                <w:szCs w:val="21"/>
                <w:lang w:eastAsia="zh-CN"/>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楷体_GB2312" w:eastAsia="楷体_GB2312"/>
                <w:b/>
                <w:color w:val="000000" w:themeColor="text1"/>
                <w:sz w:val="20"/>
                <w:szCs w:val="20"/>
              </w:rPr>
              <w:t>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szCs w:val="21"/>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pStyle w:val="12"/>
              <w:numPr>
                <w:ilvl w:val="0"/>
                <w:numId w:val="0"/>
              </w:numPr>
              <w:tabs>
                <w:tab w:val="center" w:pos="3169"/>
              </w:tabs>
              <w:spacing w:line="400" w:lineRule="exact"/>
              <w:jc w:val="left"/>
              <w:rPr>
                <w:rFonts w:ascii="宋体" w:hAnsi="宋体"/>
                <w:b/>
                <w:sz w:val="21"/>
                <w:szCs w:val="21"/>
              </w:rPr>
            </w:pPr>
            <w:r>
              <w:rPr>
                <w:rFonts w:hint="eastAsia" w:ascii="宋体" w:hAnsi="宋体" w:eastAsia="宋体" w:cs="Arial"/>
                <w:kern w:val="2"/>
                <w:sz w:val="24"/>
                <w:szCs w:val="21"/>
                <w:lang w:val="en-US" w:eastAsia="zh-CN" w:bidi="ar-SA"/>
              </w:rPr>
              <w:t>组织重要环境因素为：1、潜在火灾；2、噪声排放；3、固废（含危废）的排放；4、废气排放。</w:t>
            </w:r>
            <w:r>
              <w:rPr>
                <w:rFonts w:hint="eastAsia" w:ascii="宋体" w:hAnsi="宋体" w:eastAsia="宋体" w:cs="Arial"/>
                <w:kern w:val="2"/>
                <w:sz w:val="24"/>
                <w:szCs w:val="21"/>
                <w:lang w:val="en-US" w:eastAsia="zh-CN" w:bidi="ar-SA"/>
              </w:rPr>
              <w:t>需要应对的风险和机遇相关的过程为生产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化学品泄漏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eastAsia="宋体" w:cs="Arial"/>
                <w:kern w:val="2"/>
                <w:sz w:val="24"/>
                <w:szCs w:val="21"/>
                <w:lang w:val="en-US" w:eastAsia="zh-CN" w:bidi="ar-SA"/>
              </w:rPr>
              <w:t>组织建立了危险源识别、评价控制程序，识别评价了危险源、风险相关的过程，评价出: 1、火灾导致人身伤害；2、触电；3、意外伤害（机械伤害和化学品灼伤）；4、职业病（噪音、粉尘）</w:t>
            </w:r>
            <w:r>
              <w:rPr>
                <w:rFonts w:hint="eastAsia" w:ascii="宋体" w:hAnsi="宋体" w:eastAsia="宋体" w:cs="Arial"/>
                <w:kern w:val="2"/>
                <w:sz w:val="24"/>
                <w:szCs w:val="21"/>
                <w:lang w:val="en-US" w:eastAsia="zh-CN" w:bidi="ar-SA"/>
              </w:rPr>
              <w:t>等重要危险源，与之相关的过程有生产过程，针对不可接受风险制定了管理方案。控制措施实施有效。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cs="Times New Roman" w:asciiTheme="minorEastAsia" w:hAnsiTheme="minorEastAsia" w:eastAsiaTheme="minorEastAsia"/>
                <w:bCs/>
                <w:i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11月</w:t>
            </w:r>
            <w:r>
              <w:rPr>
                <w:rFonts w:hint="eastAsia" w:ascii="宋体" w:hAnsi="宋体" w:cs="宋体"/>
                <w:szCs w:val="21"/>
                <w:highlight w:val="none"/>
              </w:rPr>
              <w:t>-</w:t>
            </w:r>
            <w:r>
              <w:rPr>
                <w:rFonts w:hint="eastAsia" w:ascii="宋体" w:hAnsi="宋体" w:cs="宋体"/>
                <w:szCs w:val="21"/>
                <w:highlight w:val="none"/>
                <w:lang w:val="en-US" w:eastAsia="zh-CN"/>
              </w:rPr>
              <w:t>2021年04月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szCs w:val="21"/>
              </w:rPr>
              <w:t>建立有《内部审核控制程序》，规定了内审频次一年一次，内审时间：</w:t>
            </w:r>
            <w:r>
              <w:rPr>
                <w:rFonts w:hint="eastAsia" w:ascii="宋体" w:hAnsi="宋体" w:cs="宋体"/>
                <w:szCs w:val="21"/>
                <w:lang w:eastAsia="zh-CN"/>
              </w:rPr>
              <w:t>20</w:t>
            </w:r>
            <w:r>
              <w:rPr>
                <w:rFonts w:hint="eastAsia" w:ascii="宋体" w:hAnsi="宋体" w:cs="宋体"/>
                <w:szCs w:val="21"/>
                <w:lang w:val="en-US" w:eastAsia="zh-CN"/>
              </w:rPr>
              <w:t>21年3月16日</w:t>
            </w:r>
            <w:r>
              <w:rPr>
                <w:rFonts w:hint="eastAsia" w:ascii="宋体" w:hAnsi="宋体"/>
                <w:szCs w:val="21"/>
              </w:rPr>
              <w:t>，拟定了审核实施表，明确了</w:t>
            </w:r>
            <w:r>
              <w:rPr>
                <w:rFonts w:hint="eastAsia" w:ascii="宋体" w:hAnsi="宋体" w:cs="Times New Roman"/>
                <w:szCs w:val="21"/>
              </w:rPr>
              <w:t>内审范围，内审人员经培训合格上岗，能力满足要求，未出现审核本部门情况，内审不符合项1项，涉及</w:t>
            </w:r>
            <w:r>
              <w:rPr>
                <w:rFonts w:hint="eastAsia" w:ascii="宋体" w:hAnsi="宋体" w:cs="Times New Roman"/>
                <w:szCs w:val="21"/>
                <w:lang w:val="en-US" w:eastAsia="zh-CN"/>
              </w:rPr>
              <w:t>行政部</w:t>
            </w:r>
            <w:r>
              <w:rPr>
                <w:rFonts w:hint="eastAsia" w:ascii="宋体" w:hAnsi="宋体" w:cs="Times New Roman"/>
                <w:szCs w:val="21"/>
              </w:rPr>
              <w:t>ES</w:t>
            </w:r>
            <w:r>
              <w:rPr>
                <w:rFonts w:hint="eastAsia" w:ascii="宋体" w:hAnsi="宋体" w:cs="Times New Roman"/>
                <w:szCs w:val="21"/>
                <w:lang w:val="en-US" w:eastAsia="zh-CN"/>
              </w:rPr>
              <w:t>7.5</w:t>
            </w:r>
            <w:r>
              <w:rPr>
                <w:rFonts w:hint="eastAsia" w:ascii="宋体" w:hAnsi="宋体" w:cs="Times New Roman"/>
                <w:szCs w:val="21"/>
              </w:rPr>
              <w:t>条款</w:t>
            </w:r>
            <w:r>
              <w:rPr>
                <w:rFonts w:hint="eastAsia" w:ascii="宋体" w:hAnsi="宋体" w:cs="Times New Roman"/>
                <w:szCs w:val="21"/>
                <w:lang w:eastAsia="zh-CN"/>
              </w:rPr>
              <w:t>，</w:t>
            </w:r>
            <w:r>
              <w:rPr>
                <w:rFonts w:hint="eastAsia" w:ascii="宋体" w:hAnsi="宋体" w:cs="Times New Roman"/>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宋体" w:hAnsi="宋体"/>
                <w:b/>
                <w:sz w:val="21"/>
                <w:szCs w:val="21"/>
              </w:rPr>
            </w:pPr>
            <w:r>
              <w:rPr>
                <w:rFonts w:hint="eastAsia" w:ascii="宋体" w:hAnsi="宋体"/>
                <w:b/>
                <w:sz w:val="21"/>
                <w:szCs w:val="21"/>
              </w:rPr>
              <w:t>查近期污染物（</w:t>
            </w:r>
            <w:r>
              <w:rPr>
                <w:rFonts w:hint="eastAsia" w:ascii="宋体" w:hAnsi="宋体"/>
                <w:b/>
                <w:sz w:val="21"/>
                <w:szCs w:val="21"/>
                <w:lang w:val="en-US" w:eastAsia="zh-CN"/>
              </w:rPr>
              <w:t>废气</w:t>
            </w:r>
            <w:r>
              <w:rPr>
                <w:rFonts w:hint="eastAsia" w:ascii="宋体" w:hAnsi="宋体"/>
                <w:b/>
                <w:sz w:val="21"/>
                <w:szCs w:val="21"/>
              </w:rPr>
              <w:t>、噪声）达标排放检测报告，未提供</w:t>
            </w:r>
            <w:r>
              <w:rPr>
                <w:rFonts w:hint="eastAsia" w:ascii="宋体" w:hAnsi="宋体"/>
                <w:b/>
                <w:sz w:val="21"/>
                <w:szCs w:val="21"/>
                <w:lang w:val="en-US" w:eastAsia="zh-CN"/>
              </w:rPr>
              <w:t>其达标排放</w:t>
            </w:r>
            <w:r>
              <w:rPr>
                <w:rFonts w:hint="eastAsia" w:ascii="宋体" w:hAnsi="宋体"/>
                <w:b/>
                <w:sz w:val="21"/>
                <w:szCs w:val="21"/>
              </w:rPr>
              <w:t>证实</w:t>
            </w:r>
            <w:r>
              <w:rPr>
                <w:rFonts w:hint="eastAsia" w:ascii="宋体" w:hAnsi="宋体"/>
                <w:b/>
                <w:sz w:val="21"/>
                <w:szCs w:val="21"/>
                <w:lang w:eastAsia="zh-CN"/>
              </w:rPr>
              <w:t>，</w:t>
            </w:r>
            <w:r>
              <w:rPr>
                <w:rFonts w:hint="eastAsia" w:ascii="宋体" w:hAnsi="宋体"/>
                <w:b/>
                <w:sz w:val="21"/>
                <w:szCs w:val="21"/>
                <w:lang w:val="en-US" w:eastAsia="zh-CN"/>
              </w:rPr>
              <w:t>需整改</w:t>
            </w:r>
            <w:r>
              <w:rPr>
                <w:rFonts w:hint="eastAsia" w:ascii="宋体" w:hAnsi="宋体"/>
                <w:b/>
                <w:sz w:val="21"/>
                <w:szCs w:val="21"/>
              </w:rPr>
              <w:t>。</w:t>
            </w:r>
          </w:p>
          <w:p>
            <w:p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left="105" w:hanging="105" w:hangingChars="50"/>
              <w:rPr>
                <w:rFonts w:hint="eastAsia" w:ascii="宋体" w:hAnsi="宋体"/>
                <w:b/>
                <w:sz w:val="21"/>
                <w:szCs w:val="21"/>
              </w:rPr>
            </w:pPr>
            <w:r>
              <w:rPr>
                <w:rFonts w:hint="eastAsia" w:ascii="宋体" w:hAnsi="宋体"/>
                <w:b/>
                <w:sz w:val="21"/>
                <w:szCs w:val="21"/>
              </w:rPr>
              <w:t>青环保发(2010)84号</w:t>
            </w:r>
          </w:p>
          <w:p>
            <w:pPr>
              <w:spacing w:line="240" w:lineRule="exact"/>
              <w:ind w:left="105" w:hanging="105" w:hangingChars="50"/>
              <w:rPr>
                <w:rFonts w:hint="eastAsia" w:ascii="宋体" w:hAnsi="宋体"/>
                <w:b/>
                <w:sz w:val="21"/>
                <w:szCs w:val="21"/>
              </w:rPr>
            </w:pPr>
            <w:r>
              <w:rPr>
                <w:rFonts w:hint="eastAsia" w:ascii="宋体" w:hAnsi="宋体"/>
                <w:b/>
                <w:sz w:val="21"/>
                <w:szCs w:val="21"/>
              </w:rPr>
              <w:t>成都市青白江区环境保护局</w:t>
            </w:r>
          </w:p>
          <w:p>
            <w:pPr>
              <w:spacing w:line="240" w:lineRule="exact"/>
              <w:ind w:left="105" w:hanging="105" w:hangingChars="50"/>
              <w:rPr>
                <w:rFonts w:hint="eastAsia" w:ascii="宋体" w:hAnsi="宋体"/>
                <w:b/>
                <w:sz w:val="21"/>
                <w:szCs w:val="21"/>
              </w:rPr>
            </w:pPr>
            <w:r>
              <w:rPr>
                <w:rFonts w:hint="eastAsia" w:ascii="宋体" w:hAnsi="宋体"/>
                <w:b/>
                <w:sz w:val="21"/>
                <w:szCs w:val="21"/>
              </w:rPr>
              <w:t>关于成都嘉鹏科技有限公司机电设备清洁剂</w:t>
            </w:r>
          </w:p>
          <w:p>
            <w:pPr>
              <w:spacing w:line="240" w:lineRule="exact"/>
              <w:ind w:left="105" w:hanging="105" w:hangingChars="50"/>
              <w:rPr>
                <w:rFonts w:ascii="宋体" w:hAnsi="宋体"/>
                <w:b/>
                <w:sz w:val="21"/>
                <w:szCs w:val="21"/>
              </w:rPr>
            </w:pPr>
            <w:r>
              <w:rPr>
                <w:rFonts w:hint="eastAsia" w:ascii="宋体" w:hAnsi="宋体"/>
                <w:b/>
                <w:sz w:val="21"/>
                <w:szCs w:val="21"/>
              </w:rPr>
              <w:t>生产项目执行环境保护标准的批复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提供有职业病危害现状评价报告书，川泰（职）现（2020）070号。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eastAsia="宋体" w:cs="宋体"/>
                <w:color w:val="000000"/>
                <w:kern w:val="0"/>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hint="eastAsia" w:ascii="宋体" w:hAnsi="宋体" w:eastAsia="宋体"/>
                <w:b/>
                <w:sz w:val="21"/>
                <w:szCs w:val="21"/>
                <w:lang w:val="en-US"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生产技术部ES8.2条款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ascii="黑体" w:hAnsi="黑体" w:eastAsia="黑体" w:cs="黑体"/>
          <w:b/>
          <w:spacing w:val="-10"/>
          <w:szCs w:val="21"/>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黑体" w:hAnsi="黑体" w:eastAsia="黑体" w:cs="黑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 xml:space="preserve"> 0</w:t>
      </w:r>
      <w:r>
        <w:rPr>
          <w:rFonts w:hint="eastAsia" w:ascii="宋体" w:hAnsi="宋体"/>
          <w:b/>
          <w:szCs w:val="21"/>
        </w:rPr>
        <w:t>项，一般不符合</w:t>
      </w:r>
      <w:r>
        <w:rPr>
          <w:rFonts w:hint="eastAsia" w:ascii="宋体" w:hAnsi="宋体"/>
          <w:b/>
          <w:szCs w:val="21"/>
          <w:lang w:val="en-US" w:eastAsia="zh-CN"/>
        </w:rPr>
        <w:t xml:space="preserve"> 1</w:t>
      </w:r>
      <w:r>
        <w:rPr>
          <w:rFonts w:hint="eastAsia" w:ascii="宋体" w:hAnsi="宋体"/>
          <w:b/>
          <w:szCs w:val="21"/>
        </w:rPr>
        <w:t>项，观察项</w:t>
      </w:r>
      <w:r>
        <w:rPr>
          <w:rFonts w:hint="eastAsia" w:ascii="宋体" w:hAnsi="宋体"/>
          <w:b/>
          <w:szCs w:val="21"/>
          <w:lang w:val="en-US" w:eastAsia="zh-CN"/>
        </w:rPr>
        <w:t xml:space="preserve"> 0</w:t>
      </w:r>
      <w:r>
        <w:rPr>
          <w:rFonts w:hint="eastAsia" w:ascii="宋体" w:hAnsi="宋体"/>
          <w:b/>
          <w:szCs w:val="21"/>
        </w:rPr>
        <w:t>项</w:t>
      </w:r>
      <w:r>
        <w:rPr>
          <w:rFonts w:hint="eastAsia" w:ascii="宋体" w:hAnsi="宋体"/>
          <w:b/>
          <w:szCs w:val="21"/>
          <w:lang w:eastAsia="zh-CN"/>
        </w:rPr>
        <w:t>，</w:t>
      </w:r>
      <w:r>
        <w:rPr>
          <w:rFonts w:hint="eastAsia" w:ascii="宋体" w:hAnsi="宋体"/>
          <w:b/>
          <w:szCs w:val="21"/>
          <w:lang w:val="en-US" w:eastAsia="zh-CN"/>
        </w:rPr>
        <w:t>不符合项</w:t>
      </w:r>
      <w:r>
        <w:rPr>
          <w:rFonts w:hint="eastAsia" w:ascii="宋体" w:hAnsi="宋体"/>
          <w:b/>
          <w:szCs w:val="21"/>
        </w:rPr>
        <w:t>分布</w:t>
      </w:r>
      <w:r>
        <w:rPr>
          <w:rFonts w:hint="eastAsia" w:ascii="宋体" w:hAnsi="宋体"/>
          <w:b/>
          <w:szCs w:val="21"/>
          <w:lang w:val="en-US" w:eastAsia="zh-CN"/>
        </w:rPr>
        <w:t>在行政</w:t>
      </w:r>
      <w:r>
        <w:rPr>
          <w:rFonts w:hint="eastAsia" w:ascii="宋体" w:hAnsi="宋体"/>
          <w:b/>
          <w:szCs w:val="21"/>
        </w:rPr>
        <w:t>部门</w:t>
      </w:r>
      <w:r>
        <w:rPr>
          <w:rFonts w:hint="eastAsia" w:ascii="宋体" w:hAnsi="宋体"/>
          <w:b/>
          <w:szCs w:val="21"/>
          <w:lang w:val="en-US" w:eastAsia="zh-CN"/>
        </w:rPr>
        <w:t xml:space="preserve"> E9.1.1</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微软雅黑" w:hAnsi="微软雅黑" w:eastAsia="微软雅黑"/>
                <w:bCs/>
                <w:szCs w:val="24"/>
              </w:rPr>
              <w:t>综上所</w:t>
            </w:r>
            <w:r>
              <w:rPr>
                <w:rFonts w:hint="eastAsia" w:ascii="微软雅黑" w:hAnsi="微软雅黑" w:eastAsia="微软雅黑" w:cs="Times New Roman"/>
                <w:bCs/>
                <w:szCs w:val="24"/>
              </w:rPr>
              <w:t>述，审核组一致认为（成都嘉鹏科技有限公司）的</w:t>
            </w:r>
            <w:r>
              <w:rPr>
                <w:rFonts w:hint="eastAsia" w:ascii="微软雅黑" w:hAnsi="微软雅黑" w:eastAsia="微软雅黑" w:cs="Times New Roman"/>
                <w:bCs/>
                <w:szCs w:val="24"/>
                <w:lang w:eastAsia="zh-CN"/>
              </w:rPr>
              <w:t>环境、职业健康安全</w:t>
            </w:r>
            <w:r>
              <w:rPr>
                <w:rFonts w:hint="eastAsia" w:ascii="微软雅黑" w:hAnsi="微软雅黑" w:eastAsia="微软雅黑" w:cs="Times New Roman"/>
                <w:bCs/>
                <w:szCs w:val="24"/>
              </w:rPr>
              <w:t>管理体系适宜、充分、得到良好的实施和保持，体系运行</w:t>
            </w:r>
            <w:r>
              <w:rPr>
                <w:rFonts w:hint="eastAsia" w:ascii="微软雅黑" w:hAnsi="微软雅黑" w:eastAsia="微软雅黑"/>
                <w:spacing w:val="14"/>
                <w:szCs w:val="24"/>
              </w:rPr>
              <w:t>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黑体" w:hAnsi="黑体" w:eastAsia="黑体" w:cs="黑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1607185</wp:posOffset>
            </wp:positionH>
            <wp:positionV relativeFrom="paragraph">
              <wp:posOffset>192405</wp:posOffset>
            </wp:positionV>
            <wp:extent cx="700405" cy="438785"/>
            <wp:effectExtent l="0" t="0" r="635" b="317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00405" cy="43878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rFonts w:hint="default" w:eastAsia="宋体"/>
          <w:b/>
          <w:sz w:val="21"/>
          <w:lang w:val="en-US" w:eastAsia="zh-CN"/>
        </w:rPr>
      </w:pPr>
      <w:r>
        <w:rPr>
          <w:rFonts w:hint="eastAsia" w:eastAsia="宋体"/>
          <w:sz w:val="22"/>
          <w:szCs w:val="22"/>
          <w:lang w:eastAsia="zh-CN"/>
        </w:rPr>
        <w:drawing>
          <wp:anchor distT="0" distB="0" distL="114300" distR="114300" simplePos="0" relativeHeight="251665408" behindDoc="1" locked="0" layoutInCell="1" allowOverlap="1">
            <wp:simplePos x="0" y="0"/>
            <wp:positionH relativeFrom="column">
              <wp:posOffset>2290445</wp:posOffset>
            </wp:positionH>
            <wp:positionV relativeFrom="paragraph">
              <wp:posOffset>53340</wp:posOffset>
            </wp:positionV>
            <wp:extent cx="879475" cy="353060"/>
            <wp:effectExtent l="0" t="0" r="4445" b="12700"/>
            <wp:wrapNone/>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7"/>
                    <a:stretch>
                      <a:fillRect/>
                    </a:stretch>
                  </pic:blipFill>
                  <pic:spPr>
                    <a:xfrm>
                      <a:off x="0" y="0"/>
                      <a:ext cx="879475" cy="353060"/>
                    </a:xfrm>
                    <a:prstGeom prst="rect">
                      <a:avLst/>
                    </a:prstGeom>
                  </pic:spPr>
                </pic:pic>
              </a:graphicData>
            </a:graphic>
          </wp:anchor>
        </w:drawing>
      </w:r>
      <w:r>
        <w:rPr>
          <w:sz w:val="22"/>
          <w:szCs w:val="22"/>
        </w:rPr>
        <w:drawing>
          <wp:anchor distT="0" distB="0" distL="114300" distR="114300" simplePos="0" relativeHeight="251664384" behindDoc="0" locked="0" layoutInCell="1" allowOverlap="1">
            <wp:simplePos x="0" y="0"/>
            <wp:positionH relativeFrom="column">
              <wp:posOffset>1661795</wp:posOffset>
            </wp:positionH>
            <wp:positionV relativeFrom="paragraph">
              <wp:posOffset>97155</wp:posOffset>
            </wp:positionV>
            <wp:extent cx="513715" cy="336550"/>
            <wp:effectExtent l="0" t="0" r="4445" b="1397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a:stretch>
                      <a:fillRect/>
                    </a:stretch>
                  </pic:blipFill>
                  <pic:spPr>
                    <a:xfrm>
                      <a:off x="0" y="0"/>
                      <a:ext cx="513715" cy="336550"/>
                    </a:xfrm>
                    <a:prstGeom prst="rect">
                      <a:avLst/>
                    </a:prstGeom>
                  </pic:spPr>
                </pic:pic>
              </a:graphicData>
            </a:graphic>
          </wp:anchor>
        </w:drawing>
      </w:r>
      <w:r>
        <w:rPr>
          <w:rFonts w:hint="eastAsia"/>
          <w:b/>
          <w:sz w:val="21"/>
        </w:rPr>
        <w:t>审核组组员（签名）：</w:t>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ascii="黑体" w:hAnsi="黑体" w:eastAsia="黑体" w:cs="黑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1124585</wp:posOffset>
            </wp:positionH>
            <wp:positionV relativeFrom="paragraph">
              <wp:posOffset>38735</wp:posOffset>
            </wp:positionV>
            <wp:extent cx="721360" cy="452120"/>
            <wp:effectExtent l="0" t="0" r="10160" b="508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721360" cy="452120"/>
                    </a:xfrm>
                    <a:prstGeom prst="rect">
                      <a:avLst/>
                    </a:prstGeom>
                    <a:noFill/>
                    <a:ln w="9525">
                      <a:noFill/>
                      <a:miter lim="800000"/>
                      <a:headEnd/>
                      <a:tailEnd/>
                    </a:ln>
                  </pic:spPr>
                </pic:pic>
              </a:graphicData>
            </a:graphic>
          </wp:anchor>
        </w:drawing>
      </w:r>
      <w:r>
        <w:rPr>
          <w:rFonts w:hint="eastAsia"/>
          <w:b/>
          <w:sz w:val="21"/>
          <w:szCs w:val="21"/>
        </w:rPr>
        <w:t>组长签字：</w:t>
      </w:r>
      <w:bookmarkStart w:id="28" w:name="_GoBack"/>
      <w:bookmarkEnd w:id="28"/>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D2539"/>
    <w:multiLevelType w:val="singleLevel"/>
    <w:tmpl w:val="AE0D2539"/>
    <w:lvl w:ilvl="0" w:tentative="0">
      <w:start w:val="2"/>
      <w:numFmt w:val="decimal"/>
      <w:suff w:val="nothing"/>
      <w:lvlText w:val="%1、"/>
      <w:lvlJc w:val="left"/>
    </w:lvl>
  </w:abstractNum>
  <w:abstractNum w:abstractNumId="1">
    <w:nsid w:val="DD803B28"/>
    <w:multiLevelType w:val="singleLevel"/>
    <w:tmpl w:val="DD803B28"/>
    <w:lvl w:ilvl="0" w:tentative="0">
      <w:start w:val="3"/>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94064"/>
    <w:rsid w:val="015E624A"/>
    <w:rsid w:val="021F4004"/>
    <w:rsid w:val="02381051"/>
    <w:rsid w:val="025460E2"/>
    <w:rsid w:val="04871964"/>
    <w:rsid w:val="050E766E"/>
    <w:rsid w:val="05214AD0"/>
    <w:rsid w:val="0536611E"/>
    <w:rsid w:val="05B14481"/>
    <w:rsid w:val="06B164BC"/>
    <w:rsid w:val="06C61FE7"/>
    <w:rsid w:val="07F15AC3"/>
    <w:rsid w:val="083D5E93"/>
    <w:rsid w:val="084B799C"/>
    <w:rsid w:val="093A5AFF"/>
    <w:rsid w:val="09783FF9"/>
    <w:rsid w:val="097C0C9D"/>
    <w:rsid w:val="0BB1522C"/>
    <w:rsid w:val="0C2310BA"/>
    <w:rsid w:val="0C35007A"/>
    <w:rsid w:val="0C91426B"/>
    <w:rsid w:val="0D2524C8"/>
    <w:rsid w:val="0DCA4C38"/>
    <w:rsid w:val="0F9C01AC"/>
    <w:rsid w:val="12AE7CE4"/>
    <w:rsid w:val="12FE4540"/>
    <w:rsid w:val="13335C7F"/>
    <w:rsid w:val="13CE1D73"/>
    <w:rsid w:val="14C768F4"/>
    <w:rsid w:val="15F505C4"/>
    <w:rsid w:val="160E1A07"/>
    <w:rsid w:val="16900294"/>
    <w:rsid w:val="16F50535"/>
    <w:rsid w:val="17433CE9"/>
    <w:rsid w:val="1761767C"/>
    <w:rsid w:val="17E314E6"/>
    <w:rsid w:val="18324629"/>
    <w:rsid w:val="194F6326"/>
    <w:rsid w:val="1ADA7AAA"/>
    <w:rsid w:val="1BF4110C"/>
    <w:rsid w:val="1C6A5866"/>
    <w:rsid w:val="1D337A64"/>
    <w:rsid w:val="1E7916CB"/>
    <w:rsid w:val="1FCF72E1"/>
    <w:rsid w:val="1FF61B71"/>
    <w:rsid w:val="203D5983"/>
    <w:rsid w:val="20547AA7"/>
    <w:rsid w:val="222663C4"/>
    <w:rsid w:val="22C34B6E"/>
    <w:rsid w:val="25F46AA3"/>
    <w:rsid w:val="26223FFD"/>
    <w:rsid w:val="285720B5"/>
    <w:rsid w:val="2A091A21"/>
    <w:rsid w:val="2BAD5362"/>
    <w:rsid w:val="2CF10108"/>
    <w:rsid w:val="2CFA50DA"/>
    <w:rsid w:val="2D897CAA"/>
    <w:rsid w:val="2DEA399C"/>
    <w:rsid w:val="2E85746C"/>
    <w:rsid w:val="2EDF7506"/>
    <w:rsid w:val="2EFA024A"/>
    <w:rsid w:val="2FF54C40"/>
    <w:rsid w:val="303F5CE0"/>
    <w:rsid w:val="30E576CE"/>
    <w:rsid w:val="32887CAE"/>
    <w:rsid w:val="342E573C"/>
    <w:rsid w:val="348620F6"/>
    <w:rsid w:val="34DD60B7"/>
    <w:rsid w:val="351A460A"/>
    <w:rsid w:val="37554212"/>
    <w:rsid w:val="3882589E"/>
    <w:rsid w:val="39DA388A"/>
    <w:rsid w:val="3AA271EF"/>
    <w:rsid w:val="3AEE2CF8"/>
    <w:rsid w:val="3B082A94"/>
    <w:rsid w:val="3B0A4925"/>
    <w:rsid w:val="3C3D0E47"/>
    <w:rsid w:val="3C97548C"/>
    <w:rsid w:val="3CAA4044"/>
    <w:rsid w:val="3D411B5C"/>
    <w:rsid w:val="3DEA5423"/>
    <w:rsid w:val="3E194868"/>
    <w:rsid w:val="3E9A04B8"/>
    <w:rsid w:val="3EAB137A"/>
    <w:rsid w:val="3EC47C41"/>
    <w:rsid w:val="3F9D536F"/>
    <w:rsid w:val="3FA408FD"/>
    <w:rsid w:val="400C3519"/>
    <w:rsid w:val="411A0ED3"/>
    <w:rsid w:val="42437A98"/>
    <w:rsid w:val="4294715E"/>
    <w:rsid w:val="43A13F9E"/>
    <w:rsid w:val="444353E9"/>
    <w:rsid w:val="45F536F2"/>
    <w:rsid w:val="465927C4"/>
    <w:rsid w:val="46617327"/>
    <w:rsid w:val="46D6628C"/>
    <w:rsid w:val="475259F8"/>
    <w:rsid w:val="47537B74"/>
    <w:rsid w:val="47693705"/>
    <w:rsid w:val="4901010A"/>
    <w:rsid w:val="49DD34AE"/>
    <w:rsid w:val="4A052777"/>
    <w:rsid w:val="4B901EF0"/>
    <w:rsid w:val="4BD0361F"/>
    <w:rsid w:val="4C2F7191"/>
    <w:rsid w:val="4C731FAC"/>
    <w:rsid w:val="4CEB1FAE"/>
    <w:rsid w:val="4D97495B"/>
    <w:rsid w:val="4EF94BCA"/>
    <w:rsid w:val="500D532A"/>
    <w:rsid w:val="507550B6"/>
    <w:rsid w:val="515368E8"/>
    <w:rsid w:val="5222655F"/>
    <w:rsid w:val="529119BE"/>
    <w:rsid w:val="52DD7505"/>
    <w:rsid w:val="52ED7DC9"/>
    <w:rsid w:val="52FE3587"/>
    <w:rsid w:val="5313582E"/>
    <w:rsid w:val="5371276A"/>
    <w:rsid w:val="53E100A0"/>
    <w:rsid w:val="54572BC7"/>
    <w:rsid w:val="55C8394A"/>
    <w:rsid w:val="55ED509A"/>
    <w:rsid w:val="571375E4"/>
    <w:rsid w:val="5813412E"/>
    <w:rsid w:val="5893211F"/>
    <w:rsid w:val="58C6288F"/>
    <w:rsid w:val="5AB35BA3"/>
    <w:rsid w:val="5B5B1B26"/>
    <w:rsid w:val="5C27148D"/>
    <w:rsid w:val="5C352CBD"/>
    <w:rsid w:val="5CE15B65"/>
    <w:rsid w:val="60755F71"/>
    <w:rsid w:val="609349FE"/>
    <w:rsid w:val="60C702FE"/>
    <w:rsid w:val="621A4ABE"/>
    <w:rsid w:val="64125FF0"/>
    <w:rsid w:val="65BF3B5C"/>
    <w:rsid w:val="66072C62"/>
    <w:rsid w:val="6653341C"/>
    <w:rsid w:val="66A80FE3"/>
    <w:rsid w:val="676538B8"/>
    <w:rsid w:val="678E29AE"/>
    <w:rsid w:val="6A2C30C9"/>
    <w:rsid w:val="6AC35BF8"/>
    <w:rsid w:val="6BFA5C6F"/>
    <w:rsid w:val="6C5E5E83"/>
    <w:rsid w:val="6D7B0A85"/>
    <w:rsid w:val="6FB026B2"/>
    <w:rsid w:val="6FCC3DEC"/>
    <w:rsid w:val="70D23D32"/>
    <w:rsid w:val="70DC283A"/>
    <w:rsid w:val="71CF3C43"/>
    <w:rsid w:val="72240E20"/>
    <w:rsid w:val="723D0CE0"/>
    <w:rsid w:val="73F3620D"/>
    <w:rsid w:val="740A3888"/>
    <w:rsid w:val="74F140F4"/>
    <w:rsid w:val="76E34359"/>
    <w:rsid w:val="7792301C"/>
    <w:rsid w:val="78C259BC"/>
    <w:rsid w:val="7970325F"/>
    <w:rsid w:val="797E6DB8"/>
    <w:rsid w:val="79A75A92"/>
    <w:rsid w:val="7AD96BE2"/>
    <w:rsid w:val="7BFA6903"/>
    <w:rsid w:val="7BFF77F3"/>
    <w:rsid w:val="7C8E73EB"/>
    <w:rsid w:val="7D282EB8"/>
    <w:rsid w:val="7D3C4976"/>
    <w:rsid w:val="7D5C5BDC"/>
    <w:rsid w:val="7D861B52"/>
    <w:rsid w:val="7D9B6AE8"/>
    <w:rsid w:val="7E8A3220"/>
    <w:rsid w:val="7EAD59E6"/>
    <w:rsid w:val="7ECB4882"/>
    <w:rsid w:val="7F1772AB"/>
    <w:rsid w:val="7F356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10</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2021-04-29T06:29:46Z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92E74CADFA4F4BB4A2147229CE0E8DAD</vt:lpwstr>
  </property>
</Properties>
</file>