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80" w:lineRule="auto"/>
        <w:rPr>
          <w:b/>
        </w:rPr>
      </w:pPr>
    </w:p>
    <w:p>
      <w:pPr>
        <w:snapToGrid w:val="0"/>
        <w:spacing w:line="480" w:lineRule="auto"/>
        <w:jc w:val="center"/>
        <w:rPr>
          <w:rFonts w:eastAsia="隶书"/>
          <w:sz w:val="52"/>
        </w:rPr>
      </w:pPr>
    </w:p>
    <w:p>
      <w:pPr>
        <w:snapToGrid w:val="0"/>
        <w:spacing w:line="480" w:lineRule="auto"/>
        <w:jc w:val="center"/>
        <w:rPr>
          <w:rFonts w:eastAsia="隶书"/>
          <w:sz w:val="52"/>
        </w:rPr>
      </w:pPr>
    </w:p>
    <w:p>
      <w:pPr>
        <w:snapToGrid w:val="0"/>
        <w:spacing w:line="480" w:lineRule="auto"/>
        <w:jc w:val="center"/>
        <w:rPr>
          <w:rFonts w:eastAsia="隶书"/>
          <w:sz w:val="52"/>
        </w:rPr>
      </w:pPr>
      <w:r>
        <w:pict>
          <v:shape id="图片 24" o:spid="_x0000_s1029" o:spt="75" type="#_x0000_t75" style="position:absolute;left:0pt;margin-left:169.75pt;margin-top:-36.8pt;height:117.35pt;width:135.75pt;mso-wrap-distance-left:9pt;mso-wrap-distance-right:9pt;z-index:-251657216;mso-width-relative:page;mso-height-relative:page;" filled="f" o:preferrelative="t" stroked="f" coordsize="21600,21600" wrapcoords="8473 0 7041 277 3580 1800 2983 2769 1551 4431 358 6646 -119 8862 -119 11354 119 13292 1074 15508 2864 18000 6086 20077 10621 21185 11098 21185 13485 21185 13604 21185 14201 20077 17423 18000 17543 17723 19333 15508 20168 13292 20526 11077 20407 8862 19929 6646 18736 4431 17185 2631 16827 1938 13366 277 11814 0 8473 0">
            <v:path/>
            <v:fill on="f" focussize="0,0"/>
            <v:stroke on="f" joinstyle="miter"/>
            <v:imagedata r:id="rId5" o:title=""/>
            <o:lock v:ext="edit" aspectratio="t"/>
            <w10:wrap type="tight"/>
          </v:shape>
        </w:pict>
      </w:r>
    </w:p>
    <w:p>
      <w:pPr>
        <w:snapToGrid w:val="0"/>
        <w:spacing w:line="480" w:lineRule="auto"/>
        <w:jc w:val="center"/>
        <w:rPr>
          <w:rFonts w:eastAsia="隶书"/>
          <w:sz w:val="52"/>
        </w:rPr>
      </w:pPr>
    </w:p>
    <w:p>
      <w:pPr>
        <w:snapToGrid w:val="0"/>
        <w:jc w:val="center"/>
        <w:rPr>
          <w:rFonts w:ascii="楷体_GB2312" w:eastAsia="楷体_GB2312"/>
          <w:b/>
          <w:sz w:val="80"/>
          <w:szCs w:val="80"/>
        </w:rPr>
      </w:pPr>
      <w:r>
        <w:rPr>
          <w:rFonts w:hint="eastAsia" w:ascii="楷体_GB2312" w:eastAsia="楷体_GB2312"/>
          <w:b/>
          <w:sz w:val="80"/>
          <w:szCs w:val="80"/>
        </w:rPr>
        <w:t>监督审核报告</w:t>
      </w:r>
    </w:p>
    <w:p>
      <w:pPr>
        <w:snapToGrid w:val="0"/>
        <w:spacing w:line="360" w:lineRule="auto"/>
        <w:ind w:firstLine="450" w:firstLineChars="150"/>
        <w:rPr>
          <w:sz w:val="30"/>
          <w:szCs w:val="30"/>
        </w:rPr>
      </w:pPr>
    </w:p>
    <w:p>
      <w:pPr>
        <w:snapToGrid w:val="0"/>
        <w:spacing w:line="360" w:lineRule="auto"/>
        <w:rPr>
          <w:b/>
          <w:sz w:val="30"/>
          <w:szCs w:val="30"/>
        </w:rPr>
      </w:pPr>
    </w:p>
    <w:p>
      <w:pPr>
        <w:snapToGrid w:val="0"/>
        <w:spacing w:afterLines="30"/>
        <w:ind w:firstLine="321" w:firstLineChars="100"/>
        <w:rPr>
          <w:rFonts w:ascii="楷体" w:hAnsi="楷体" w:eastAsia="楷体"/>
          <w:b/>
          <w:color w:val="000000"/>
          <w:sz w:val="32"/>
          <w:szCs w:val="32"/>
          <w:u w:val="single"/>
        </w:rPr>
      </w:pPr>
      <w:r>
        <w:rPr>
          <w:rFonts w:hint="eastAsia" w:ascii="楷体" w:hAnsi="楷体" w:eastAsia="楷体"/>
          <w:b/>
          <w:color w:val="000000"/>
          <w:sz w:val="32"/>
          <w:szCs w:val="32"/>
        </w:rPr>
        <w:t>受审核方：四川阳森石油技术有限公司</w:t>
      </w:r>
    </w:p>
    <w:p>
      <w:pPr>
        <w:snapToGrid w:val="0"/>
        <w:spacing w:afterLines="30"/>
        <w:rPr>
          <w:rFonts w:ascii="楷体" w:hAnsi="楷体" w:eastAsia="楷体"/>
          <w:b/>
          <w:color w:val="000000"/>
          <w:sz w:val="32"/>
          <w:szCs w:val="32"/>
        </w:rPr>
      </w:pPr>
    </w:p>
    <w:p>
      <w:pPr>
        <w:snapToGrid w:val="0"/>
        <w:spacing w:afterLines="30"/>
        <w:ind w:firstLine="321" w:firstLineChars="1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Lines="30"/>
        <w:ind w:firstLine="957" w:firstLineChars="298"/>
        <w:rPr>
          <w:rFonts w:ascii="楷体" w:hAnsi="楷体" w:eastAsia="楷体"/>
          <w:b/>
          <w:color w:val="000000"/>
          <w:sz w:val="32"/>
          <w:szCs w:val="32"/>
        </w:rPr>
      </w:pPr>
      <w:bookmarkStart w:id="0" w:name="Q勾选15"/>
      <w:r>
        <w:rPr>
          <w:rFonts w:hint="eastAsia" w:ascii="楷体" w:hAnsi="楷体" w:eastAsia="楷体"/>
          <w:b/>
          <w:color w:val="000000"/>
          <w:sz w:val="32"/>
          <w:szCs w:val="32"/>
        </w:rPr>
        <w:t>■</w:t>
      </w:r>
      <w:bookmarkEnd w:id="0"/>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第2次</w:t>
      </w:r>
      <w:r>
        <w:rPr>
          <w:rFonts w:ascii="楷体_GB2312" w:eastAsia="楷体_GB2312"/>
          <w:sz w:val="32"/>
          <w:szCs w:val="32"/>
        </w:rPr>
        <w:t>)</w:t>
      </w:r>
    </w:p>
    <w:p>
      <w:pPr>
        <w:snapToGrid w:val="0"/>
        <w:spacing w:afterLines="30"/>
        <w:ind w:firstLine="957" w:firstLineChars="298"/>
        <w:rPr>
          <w:rFonts w:ascii="楷体" w:hAnsi="楷体" w:eastAsia="楷体"/>
          <w:b/>
          <w:color w:val="000000"/>
          <w:sz w:val="32"/>
          <w:szCs w:val="32"/>
        </w:rPr>
      </w:pPr>
      <w:bookmarkStart w:id="1" w:name="E勾选"/>
      <w:r>
        <w:rPr>
          <w:rFonts w:hint="eastAsia" w:ascii="楷体" w:hAnsi="楷体" w:eastAsia="楷体"/>
          <w:b/>
          <w:color w:val="000000"/>
          <w:sz w:val="32"/>
          <w:szCs w:val="32"/>
        </w:rPr>
        <w:t>■</w:t>
      </w:r>
      <w:bookmarkEnd w:id="1"/>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第2次</w:t>
      </w:r>
      <w:r>
        <w:rPr>
          <w:rFonts w:ascii="楷体_GB2312" w:eastAsia="楷体_GB2312"/>
          <w:sz w:val="32"/>
          <w:szCs w:val="32"/>
        </w:rPr>
        <w:t>)</w:t>
      </w:r>
    </w:p>
    <w:p>
      <w:pPr>
        <w:snapToGrid w:val="0"/>
        <w:spacing w:afterLines="30"/>
        <w:ind w:firstLine="957" w:firstLineChars="298"/>
        <w:rPr>
          <w:rFonts w:ascii="楷体" w:hAnsi="楷体" w:eastAsia="楷体"/>
          <w:b/>
          <w:color w:val="000000"/>
          <w:sz w:val="32"/>
          <w:szCs w:val="32"/>
        </w:rPr>
      </w:pPr>
      <w:bookmarkStart w:id="2" w:name="S勾选"/>
      <w:r>
        <w:rPr>
          <w:rFonts w:hint="eastAsia" w:ascii="楷体" w:hAnsi="楷体" w:eastAsia="楷体"/>
          <w:b/>
          <w:color w:val="000000"/>
          <w:sz w:val="32"/>
          <w:szCs w:val="32"/>
        </w:rPr>
        <w:t>■</w:t>
      </w:r>
      <w:bookmarkEnd w:id="2"/>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第2次</w:t>
      </w:r>
      <w:r>
        <w:rPr>
          <w:rFonts w:ascii="楷体_GB2312" w:eastAsia="楷体_GB2312"/>
          <w:sz w:val="32"/>
          <w:szCs w:val="32"/>
        </w:rPr>
        <w:t>)</w:t>
      </w:r>
    </w:p>
    <w:p>
      <w:pPr>
        <w:snapToGrid w:val="0"/>
        <w:spacing w:line="480" w:lineRule="auto"/>
        <w:ind w:left="850"/>
        <w:rPr>
          <w:rFonts w:hint="eastAsia" w:ascii="楷体" w:hAnsi="楷体" w:eastAsia="楷体"/>
          <w:b/>
          <w:color w:val="000000"/>
          <w:sz w:val="32"/>
          <w:szCs w:val="32"/>
        </w:rPr>
      </w:pPr>
    </w:p>
    <w:p>
      <w:pPr>
        <w:snapToGrid w:val="0"/>
        <w:spacing w:line="480" w:lineRule="auto"/>
        <w:ind w:left="850"/>
        <w:rPr>
          <w:rFonts w:hint="eastAsia" w:ascii="楷体" w:hAnsi="楷体" w:eastAsia="楷体"/>
          <w:b/>
          <w:color w:val="000000"/>
          <w:sz w:val="32"/>
          <w:szCs w:val="32"/>
        </w:rPr>
      </w:pPr>
    </w:p>
    <w:p>
      <w:pPr>
        <w:snapToGrid w:val="0"/>
        <w:spacing w:line="480" w:lineRule="auto"/>
        <w:ind w:left="850"/>
        <w:rPr>
          <w:rFonts w:ascii="楷体" w:hAnsi="楷体" w:eastAsia="楷体"/>
          <w:b/>
          <w:color w:val="000000"/>
          <w:sz w:val="32"/>
          <w:szCs w:val="32"/>
        </w:rPr>
      </w:pPr>
    </w:p>
    <w:p>
      <w:pPr>
        <w:snapToGrid w:val="0"/>
        <w:spacing w:line="480" w:lineRule="auto"/>
        <w:ind w:left="850"/>
        <w:rPr>
          <w:rFonts w:eastAsia="楷体_GB2312"/>
          <w:sz w:val="32"/>
        </w:rPr>
      </w:pPr>
    </w:p>
    <w:p>
      <w:pPr>
        <w:snapToGrid w:val="0"/>
        <w:spacing w:afterLines="30"/>
        <w:jc w:val="center"/>
        <w:rPr>
          <w:rFonts w:ascii="楷体" w:hAnsi="楷体" w:eastAsia="楷体"/>
          <w:b/>
          <w:color w:val="000000"/>
          <w:sz w:val="36"/>
          <w:szCs w:val="36"/>
        </w:rPr>
      </w:pPr>
      <w:r>
        <w:rPr>
          <w:rFonts w:hint="eastAsia" w:ascii="楷体" w:hAnsi="楷体" w:eastAsia="楷体"/>
          <w:b/>
          <w:color w:val="000000"/>
          <w:sz w:val="36"/>
          <w:szCs w:val="36"/>
        </w:rPr>
        <w:t>北京国标联合认证有限公司</w:t>
      </w:r>
    </w:p>
    <w:p>
      <w:pPr>
        <w:widowControl/>
        <w:ind w:firstLine="2512" w:firstLineChars="695"/>
        <w:jc w:val="left"/>
        <w:rPr>
          <w:rFonts w:ascii="楷体" w:hAnsi="楷体" w:eastAsia="楷体"/>
          <w:b/>
          <w:color w:val="000000"/>
          <w:sz w:val="36"/>
          <w:szCs w:val="36"/>
        </w:rPr>
      </w:pPr>
      <w:r>
        <w:rPr>
          <w:rFonts w:hint="eastAsia" w:ascii="楷体" w:hAnsi="楷体" w:eastAsia="楷体"/>
          <w:b/>
          <w:color w:val="000000"/>
          <w:sz w:val="36"/>
          <w:szCs w:val="36"/>
        </w:rPr>
        <w:t>网址：</w:t>
      </w:r>
      <w:r>
        <w:rPr>
          <w:rFonts w:ascii="楷体" w:hAnsi="楷体" w:eastAsia="楷体"/>
          <w:b/>
          <w:color w:val="000000"/>
          <w:sz w:val="36"/>
          <w:szCs w:val="36"/>
        </w:rPr>
        <w:t>www.</w:t>
      </w:r>
      <w:r>
        <w:rPr>
          <w:rFonts w:hint="eastAsia" w:ascii="楷体" w:hAnsi="楷体" w:eastAsia="楷体"/>
          <w:b/>
          <w:color w:val="000000"/>
          <w:sz w:val="36"/>
          <w:szCs w:val="36"/>
        </w:rPr>
        <w:t>china-isc.org.cn</w:t>
      </w:r>
    </w:p>
    <w:p>
      <w:pPr>
        <w:ind w:firstLine="522" w:firstLineChars="200"/>
        <w:rPr>
          <w:rFonts w:ascii="宋体"/>
          <w:b/>
          <w:color w:val="000000"/>
          <w:sz w:val="26"/>
          <w:szCs w:val="26"/>
        </w:rPr>
      </w:pPr>
      <w:r>
        <w:rPr>
          <w:rFonts w:hint="eastAsia" w:ascii="宋体" w:hAnsi="宋体"/>
          <w:b/>
          <w:color w:val="000000"/>
          <w:sz w:val="26"/>
          <w:szCs w:val="26"/>
        </w:rPr>
        <w:t>一、审核方基本信息</w:t>
      </w:r>
    </w:p>
    <w:tbl>
      <w:tblPr>
        <w:tblStyle w:val="6"/>
        <w:tblW w:w="983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
        <w:gridCol w:w="541"/>
        <w:gridCol w:w="283"/>
        <w:gridCol w:w="1158"/>
        <w:gridCol w:w="1089"/>
        <w:gridCol w:w="2566"/>
        <w:gridCol w:w="715"/>
        <w:gridCol w:w="850"/>
        <w:gridCol w:w="191"/>
        <w:gridCol w:w="14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559" w:type="dxa"/>
            <w:gridSpan w:val="2"/>
            <w:vAlign w:val="center"/>
          </w:tcPr>
          <w:p>
            <w:pPr>
              <w:rPr>
                <w:b/>
                <w:sz w:val="21"/>
                <w:szCs w:val="21"/>
              </w:rPr>
            </w:pPr>
            <w:r>
              <w:rPr>
                <w:rFonts w:hint="eastAsia"/>
                <w:b/>
                <w:sz w:val="21"/>
                <w:szCs w:val="21"/>
              </w:rPr>
              <w:t>审核方名称</w:t>
            </w:r>
          </w:p>
        </w:tc>
        <w:tc>
          <w:tcPr>
            <w:tcW w:w="8275" w:type="dxa"/>
            <w:gridSpan w:val="8"/>
          </w:tcPr>
          <w:p>
            <w:pPr>
              <w:rPr>
                <w:b/>
                <w:sz w:val="21"/>
                <w:szCs w:val="21"/>
              </w:rPr>
            </w:pPr>
            <w:r>
              <w:rPr>
                <w:rFonts w:hint="eastAsia"/>
                <w:b/>
                <w:sz w:val="21"/>
                <w:szCs w:val="21"/>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审核方地址</w:t>
            </w:r>
          </w:p>
        </w:tc>
        <w:tc>
          <w:tcPr>
            <w:tcW w:w="5811" w:type="dxa"/>
            <w:gridSpan w:val="5"/>
          </w:tcPr>
          <w:p>
            <w:pPr>
              <w:rPr>
                <w:b/>
                <w:sz w:val="21"/>
                <w:szCs w:val="21"/>
              </w:rPr>
            </w:pPr>
            <w:r>
              <w:rPr>
                <w:rFonts w:hint="eastAsia"/>
                <w:b/>
                <w:sz w:val="21"/>
                <w:szCs w:val="21"/>
              </w:rPr>
              <w:t>北京市朝阳区北苑路168号1号楼16层1603</w:t>
            </w:r>
          </w:p>
        </w:tc>
        <w:tc>
          <w:tcPr>
            <w:tcW w:w="850" w:type="dxa"/>
          </w:tcPr>
          <w:p>
            <w:pPr>
              <w:rPr>
                <w:b/>
                <w:sz w:val="21"/>
                <w:szCs w:val="21"/>
              </w:rPr>
            </w:pPr>
            <w:r>
              <w:rPr>
                <w:rFonts w:hint="eastAsia"/>
                <w:b/>
                <w:sz w:val="21"/>
                <w:szCs w:val="21"/>
              </w:rPr>
              <w:t>邮编</w:t>
            </w:r>
          </w:p>
        </w:tc>
        <w:tc>
          <w:tcPr>
            <w:tcW w:w="1614" w:type="dxa"/>
            <w:gridSpan w:val="2"/>
          </w:tcPr>
          <w:p>
            <w:pPr>
              <w:rPr>
                <w:b/>
                <w:sz w:val="21"/>
                <w:szCs w:val="21"/>
              </w:rPr>
            </w:pPr>
            <w:r>
              <w:rPr>
                <w:rFonts w:hint="eastAsia"/>
                <w:b/>
                <w:sz w:val="21"/>
                <w:szCs w:val="21"/>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联系电话</w:t>
            </w:r>
          </w:p>
        </w:tc>
        <w:tc>
          <w:tcPr>
            <w:tcW w:w="8275" w:type="dxa"/>
            <w:gridSpan w:val="8"/>
          </w:tcPr>
          <w:p>
            <w:pPr>
              <w:rPr>
                <w:b/>
                <w:sz w:val="21"/>
                <w:szCs w:val="21"/>
              </w:rPr>
            </w:pPr>
            <w:r>
              <w:rPr>
                <w:b/>
                <w:sz w:val="21"/>
                <w:szCs w:val="21"/>
              </w:rPr>
              <w:t>010</w:t>
            </w:r>
            <w:r>
              <w:rPr>
                <w:rFonts w:hint="eastAsia"/>
                <w:b/>
                <w:sz w:val="21"/>
                <w:szCs w:val="21"/>
              </w:rPr>
              <w:t>-5351 6278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34" w:type="dxa"/>
            <w:gridSpan w:val="10"/>
          </w:tcPr>
          <w:p>
            <w:pPr>
              <w:rPr>
                <w:b/>
                <w:sz w:val="21"/>
                <w:szCs w:val="21"/>
              </w:rPr>
            </w:pPr>
            <w:r>
              <w:rPr>
                <w:rFonts w:hint="eastAsia"/>
                <w:b/>
                <w:sz w:val="21"/>
                <w:szCs w:val="21"/>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158" w:type="dxa"/>
            <w:vAlign w:val="center"/>
          </w:tcPr>
          <w:p>
            <w:pPr>
              <w:jc w:val="center"/>
              <w:rPr>
                <w:b/>
                <w:sz w:val="21"/>
                <w:szCs w:val="21"/>
              </w:rPr>
            </w:pPr>
            <w:r>
              <w:rPr>
                <w:rFonts w:hint="eastAsia"/>
                <w:b/>
                <w:sz w:val="21"/>
                <w:szCs w:val="21"/>
              </w:rPr>
              <w:t>职务</w:t>
            </w:r>
          </w:p>
        </w:tc>
        <w:tc>
          <w:tcPr>
            <w:tcW w:w="1089" w:type="dxa"/>
            <w:vAlign w:val="center"/>
          </w:tcPr>
          <w:p>
            <w:pPr>
              <w:jc w:val="center"/>
              <w:rPr>
                <w:b/>
                <w:sz w:val="21"/>
                <w:szCs w:val="21"/>
              </w:rPr>
            </w:pPr>
            <w:r>
              <w:rPr>
                <w:rFonts w:hint="eastAsia"/>
                <w:b/>
                <w:sz w:val="21"/>
                <w:szCs w:val="21"/>
              </w:rPr>
              <w:t>注册级别</w:t>
            </w:r>
          </w:p>
        </w:tc>
        <w:tc>
          <w:tcPr>
            <w:tcW w:w="2566" w:type="dxa"/>
            <w:vAlign w:val="center"/>
          </w:tcPr>
          <w:p>
            <w:pPr>
              <w:jc w:val="center"/>
              <w:rPr>
                <w:b/>
                <w:sz w:val="21"/>
                <w:szCs w:val="21"/>
              </w:rPr>
            </w:pPr>
            <w:r>
              <w:rPr>
                <w:rFonts w:hint="eastAsia"/>
                <w:b/>
                <w:sz w:val="21"/>
                <w:szCs w:val="21"/>
              </w:rPr>
              <w:t>审核员注册号</w:t>
            </w:r>
          </w:p>
        </w:tc>
        <w:tc>
          <w:tcPr>
            <w:tcW w:w="1756" w:type="dxa"/>
            <w:gridSpan w:val="3"/>
            <w:vAlign w:val="center"/>
          </w:tcPr>
          <w:p>
            <w:pPr>
              <w:jc w:val="center"/>
              <w:rPr>
                <w:b/>
                <w:sz w:val="21"/>
                <w:szCs w:val="21"/>
              </w:rPr>
            </w:pPr>
            <w:r>
              <w:rPr>
                <w:rFonts w:hint="eastAsia"/>
                <w:b/>
                <w:sz w:val="21"/>
                <w:szCs w:val="21"/>
              </w:rPr>
              <w:t>专业代码</w:t>
            </w:r>
          </w:p>
        </w:tc>
        <w:tc>
          <w:tcPr>
            <w:tcW w:w="1423" w:type="dxa"/>
            <w:vAlign w:val="center"/>
          </w:tcPr>
          <w:p>
            <w:pPr>
              <w:jc w:val="center"/>
              <w:rPr>
                <w:b/>
                <w:sz w:val="21"/>
                <w:szCs w:val="21"/>
              </w:rPr>
            </w:pPr>
            <w:r>
              <w:rPr>
                <w:rFonts w:hint="eastAsia"/>
                <w:b/>
                <w:sz w:val="21"/>
                <w:szCs w:val="21"/>
              </w:rPr>
              <w:t>组内代号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b/>
                <w:sz w:val="21"/>
                <w:szCs w:val="21"/>
              </w:rPr>
              <w:t>文平</w:t>
            </w:r>
          </w:p>
        </w:tc>
        <w:tc>
          <w:tcPr>
            <w:tcW w:w="824" w:type="dxa"/>
            <w:gridSpan w:val="2"/>
            <w:vAlign w:val="center"/>
          </w:tcPr>
          <w:p>
            <w:pPr>
              <w:jc w:val="center"/>
              <w:rPr>
                <w:b/>
                <w:sz w:val="21"/>
                <w:szCs w:val="21"/>
              </w:rPr>
            </w:pPr>
            <w:r>
              <w:rPr>
                <w:b/>
                <w:sz w:val="21"/>
                <w:szCs w:val="21"/>
              </w:rPr>
              <w:t>男</w:t>
            </w:r>
          </w:p>
        </w:tc>
        <w:tc>
          <w:tcPr>
            <w:tcW w:w="1158" w:type="dxa"/>
            <w:vAlign w:val="center"/>
          </w:tcPr>
          <w:p>
            <w:pPr>
              <w:jc w:val="center"/>
              <w:rPr>
                <w:b/>
                <w:sz w:val="21"/>
                <w:szCs w:val="21"/>
              </w:rPr>
            </w:pPr>
            <w:r>
              <w:rPr>
                <w:b/>
                <w:sz w:val="21"/>
                <w:szCs w:val="21"/>
              </w:rPr>
              <w:t>组长</w:t>
            </w:r>
          </w:p>
        </w:tc>
        <w:tc>
          <w:tcPr>
            <w:tcW w:w="1089" w:type="dxa"/>
            <w:vAlign w:val="center"/>
          </w:tcPr>
          <w:p>
            <w:pPr>
              <w:jc w:val="center"/>
              <w:rPr>
                <w:b/>
                <w:sz w:val="21"/>
                <w:szCs w:val="21"/>
              </w:rPr>
            </w:pPr>
            <w:r>
              <w:rPr>
                <w:b/>
                <w:sz w:val="21"/>
                <w:szCs w:val="21"/>
              </w:rPr>
              <w:t>Q:审核员</w:t>
            </w:r>
          </w:p>
          <w:p>
            <w:pPr>
              <w:jc w:val="center"/>
              <w:rPr>
                <w:b/>
                <w:sz w:val="21"/>
                <w:szCs w:val="21"/>
              </w:rPr>
            </w:pPr>
            <w:r>
              <w:rPr>
                <w:b/>
                <w:sz w:val="21"/>
                <w:szCs w:val="21"/>
              </w:rPr>
              <w:t>E:审核员</w:t>
            </w:r>
          </w:p>
          <w:p>
            <w:pPr>
              <w:jc w:val="center"/>
              <w:rPr>
                <w:b/>
                <w:sz w:val="21"/>
                <w:szCs w:val="21"/>
              </w:rPr>
            </w:pPr>
            <w:r>
              <w:rPr>
                <w:b/>
                <w:sz w:val="21"/>
                <w:szCs w:val="21"/>
              </w:rPr>
              <w:t>O:审核员</w:t>
            </w:r>
          </w:p>
        </w:tc>
        <w:tc>
          <w:tcPr>
            <w:tcW w:w="2566" w:type="dxa"/>
            <w:vAlign w:val="center"/>
          </w:tcPr>
          <w:p>
            <w:pPr>
              <w:jc w:val="center"/>
              <w:rPr>
                <w:b/>
                <w:sz w:val="21"/>
                <w:szCs w:val="21"/>
              </w:rPr>
            </w:pPr>
            <w:r>
              <w:rPr>
                <w:b/>
                <w:sz w:val="21"/>
                <w:szCs w:val="21"/>
              </w:rPr>
              <w:t>2019-N1QMS-3093566</w:t>
            </w:r>
          </w:p>
          <w:p>
            <w:pPr>
              <w:jc w:val="center"/>
              <w:rPr>
                <w:b/>
                <w:sz w:val="21"/>
                <w:szCs w:val="21"/>
              </w:rPr>
            </w:pPr>
            <w:r>
              <w:rPr>
                <w:b/>
                <w:sz w:val="21"/>
                <w:szCs w:val="21"/>
              </w:rPr>
              <w:t>2018-N1EMS-2093566</w:t>
            </w:r>
          </w:p>
          <w:p>
            <w:pPr>
              <w:jc w:val="center"/>
              <w:rPr>
                <w:b/>
                <w:sz w:val="21"/>
                <w:szCs w:val="21"/>
              </w:rPr>
            </w:pPr>
            <w:r>
              <w:rPr>
                <w:b/>
                <w:sz w:val="21"/>
                <w:szCs w:val="21"/>
              </w:rPr>
              <w:t>2019-N1OHSMS-2093566</w:t>
            </w:r>
          </w:p>
        </w:tc>
        <w:tc>
          <w:tcPr>
            <w:tcW w:w="1756" w:type="dxa"/>
            <w:gridSpan w:val="3"/>
            <w:vAlign w:val="center"/>
          </w:tcPr>
          <w:p>
            <w:pPr>
              <w:jc w:val="center"/>
              <w:rPr>
                <w:b/>
                <w:sz w:val="21"/>
                <w:szCs w:val="21"/>
              </w:rPr>
            </w:pPr>
            <w:r>
              <w:rPr>
                <w:b/>
                <w:sz w:val="21"/>
                <w:szCs w:val="21"/>
              </w:rPr>
              <w:t>Q:29.11.05,39.01.00,39.03.01</w:t>
            </w:r>
          </w:p>
          <w:p>
            <w:pPr>
              <w:jc w:val="center"/>
              <w:rPr>
                <w:b/>
                <w:sz w:val="21"/>
                <w:szCs w:val="21"/>
              </w:rPr>
            </w:pPr>
            <w:r>
              <w:rPr>
                <w:b/>
                <w:sz w:val="21"/>
                <w:szCs w:val="21"/>
              </w:rPr>
              <w:t>E:29.11.05,39.01.00,39.03.01</w:t>
            </w:r>
          </w:p>
          <w:p>
            <w:pPr>
              <w:jc w:val="center"/>
              <w:rPr>
                <w:b/>
                <w:sz w:val="21"/>
                <w:szCs w:val="21"/>
              </w:rPr>
            </w:pPr>
            <w:r>
              <w:rPr>
                <w:b/>
                <w:sz w:val="21"/>
                <w:szCs w:val="21"/>
              </w:rPr>
              <w:t>O:29.11.05,39.01.00,39.03.01</w:t>
            </w:r>
          </w:p>
        </w:tc>
        <w:tc>
          <w:tcPr>
            <w:tcW w:w="1423" w:type="dxa"/>
            <w:vAlign w:val="center"/>
          </w:tcPr>
          <w:p>
            <w:pPr>
              <w:jc w:val="center"/>
              <w:rPr>
                <w:b/>
                <w:sz w:val="21"/>
                <w:szCs w:val="21"/>
              </w:rPr>
            </w:pPr>
            <w:r>
              <w:rPr>
                <w:b/>
                <w:sz w:val="21"/>
                <w:szCs w:val="21"/>
              </w:rPr>
              <w:t>ISC-93566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b/>
                <w:sz w:val="21"/>
                <w:szCs w:val="21"/>
              </w:rPr>
              <w:t>张心</w:t>
            </w:r>
          </w:p>
        </w:tc>
        <w:tc>
          <w:tcPr>
            <w:tcW w:w="824" w:type="dxa"/>
            <w:gridSpan w:val="2"/>
            <w:vAlign w:val="center"/>
          </w:tcPr>
          <w:p>
            <w:pPr>
              <w:jc w:val="center"/>
              <w:rPr>
                <w:b/>
                <w:sz w:val="21"/>
                <w:szCs w:val="21"/>
              </w:rPr>
            </w:pPr>
            <w:r>
              <w:rPr>
                <w:b/>
                <w:sz w:val="21"/>
                <w:szCs w:val="21"/>
              </w:rPr>
              <w:t>女</w:t>
            </w:r>
          </w:p>
        </w:tc>
        <w:tc>
          <w:tcPr>
            <w:tcW w:w="1158" w:type="dxa"/>
            <w:vAlign w:val="center"/>
          </w:tcPr>
          <w:p>
            <w:pPr>
              <w:jc w:val="center"/>
              <w:rPr>
                <w:b/>
                <w:sz w:val="21"/>
                <w:szCs w:val="21"/>
              </w:rPr>
            </w:pPr>
            <w:r>
              <w:rPr>
                <w:b/>
                <w:sz w:val="21"/>
                <w:szCs w:val="21"/>
              </w:rPr>
              <w:t>组员</w:t>
            </w:r>
          </w:p>
        </w:tc>
        <w:tc>
          <w:tcPr>
            <w:tcW w:w="1089" w:type="dxa"/>
            <w:vAlign w:val="center"/>
          </w:tcPr>
          <w:p>
            <w:pPr>
              <w:jc w:val="center"/>
              <w:rPr>
                <w:b/>
                <w:sz w:val="21"/>
                <w:szCs w:val="21"/>
              </w:rPr>
            </w:pPr>
            <w:r>
              <w:rPr>
                <w:b/>
                <w:sz w:val="21"/>
                <w:szCs w:val="21"/>
              </w:rPr>
              <w:t>Q:审核员</w:t>
            </w:r>
          </w:p>
        </w:tc>
        <w:tc>
          <w:tcPr>
            <w:tcW w:w="2566" w:type="dxa"/>
            <w:vAlign w:val="center"/>
          </w:tcPr>
          <w:p>
            <w:pPr>
              <w:jc w:val="center"/>
              <w:rPr>
                <w:b/>
                <w:sz w:val="21"/>
                <w:szCs w:val="21"/>
              </w:rPr>
            </w:pPr>
            <w:r>
              <w:rPr>
                <w:b/>
                <w:sz w:val="21"/>
                <w:szCs w:val="21"/>
              </w:rPr>
              <w:t>2018-N1QMS-2207381</w:t>
            </w:r>
          </w:p>
        </w:tc>
        <w:tc>
          <w:tcPr>
            <w:tcW w:w="1756" w:type="dxa"/>
            <w:gridSpan w:val="3"/>
            <w:vAlign w:val="center"/>
          </w:tcPr>
          <w:p>
            <w:pPr>
              <w:jc w:val="center"/>
              <w:rPr>
                <w:b/>
                <w:sz w:val="21"/>
                <w:szCs w:val="21"/>
              </w:rPr>
            </w:pPr>
            <w:r>
              <w:rPr>
                <w:b/>
                <w:sz w:val="21"/>
                <w:szCs w:val="21"/>
              </w:rPr>
              <w:t>Q:29.11.05</w:t>
            </w:r>
          </w:p>
          <w:p>
            <w:pPr>
              <w:jc w:val="center"/>
              <w:rPr>
                <w:b/>
                <w:sz w:val="21"/>
                <w:szCs w:val="21"/>
              </w:rPr>
            </w:pPr>
            <w:r>
              <w:rPr>
                <w:b/>
                <w:sz w:val="21"/>
                <w:szCs w:val="21"/>
              </w:rPr>
              <w:t>E:29.11.05</w:t>
            </w:r>
          </w:p>
        </w:tc>
        <w:tc>
          <w:tcPr>
            <w:tcW w:w="1423" w:type="dxa"/>
            <w:vAlign w:val="center"/>
          </w:tcPr>
          <w:p>
            <w:pPr>
              <w:jc w:val="center"/>
              <w:rPr>
                <w:b/>
                <w:sz w:val="21"/>
                <w:szCs w:val="21"/>
              </w:rPr>
            </w:pPr>
            <w:r>
              <w:rPr>
                <w:b/>
                <w:sz w:val="21"/>
                <w:szCs w:val="21"/>
              </w:rPr>
              <w:t>ISC-207381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b/>
                <w:sz w:val="21"/>
                <w:szCs w:val="21"/>
              </w:rPr>
              <w:t>冉景洲</w:t>
            </w:r>
          </w:p>
        </w:tc>
        <w:tc>
          <w:tcPr>
            <w:tcW w:w="824" w:type="dxa"/>
            <w:gridSpan w:val="2"/>
            <w:vAlign w:val="center"/>
          </w:tcPr>
          <w:p>
            <w:pPr>
              <w:jc w:val="center"/>
              <w:rPr>
                <w:b/>
                <w:sz w:val="21"/>
                <w:szCs w:val="21"/>
              </w:rPr>
            </w:pPr>
            <w:r>
              <w:rPr>
                <w:b/>
                <w:sz w:val="21"/>
                <w:szCs w:val="21"/>
              </w:rPr>
              <w:t>女</w:t>
            </w:r>
          </w:p>
        </w:tc>
        <w:tc>
          <w:tcPr>
            <w:tcW w:w="1158" w:type="dxa"/>
            <w:vAlign w:val="center"/>
          </w:tcPr>
          <w:p>
            <w:pPr>
              <w:jc w:val="center"/>
              <w:rPr>
                <w:b/>
                <w:sz w:val="21"/>
                <w:szCs w:val="21"/>
              </w:rPr>
            </w:pPr>
            <w:r>
              <w:rPr>
                <w:b/>
                <w:sz w:val="21"/>
                <w:szCs w:val="21"/>
              </w:rPr>
              <w:t>组员</w:t>
            </w:r>
          </w:p>
        </w:tc>
        <w:tc>
          <w:tcPr>
            <w:tcW w:w="1089" w:type="dxa"/>
            <w:vAlign w:val="center"/>
          </w:tcPr>
          <w:p>
            <w:pPr>
              <w:jc w:val="center"/>
              <w:rPr>
                <w:b/>
                <w:sz w:val="21"/>
                <w:szCs w:val="21"/>
              </w:rPr>
            </w:pPr>
            <w:r>
              <w:rPr>
                <w:b/>
                <w:sz w:val="21"/>
                <w:szCs w:val="21"/>
              </w:rPr>
              <w:t>Q:审核员</w:t>
            </w:r>
          </w:p>
          <w:p>
            <w:pPr>
              <w:jc w:val="center"/>
              <w:rPr>
                <w:b/>
                <w:sz w:val="21"/>
                <w:szCs w:val="21"/>
              </w:rPr>
            </w:pPr>
            <w:r>
              <w:rPr>
                <w:b/>
                <w:sz w:val="21"/>
                <w:szCs w:val="21"/>
              </w:rPr>
              <w:t>E:审核员</w:t>
            </w:r>
          </w:p>
        </w:tc>
        <w:tc>
          <w:tcPr>
            <w:tcW w:w="2566" w:type="dxa"/>
            <w:vAlign w:val="center"/>
          </w:tcPr>
          <w:p>
            <w:pPr>
              <w:jc w:val="center"/>
              <w:rPr>
                <w:b/>
                <w:sz w:val="21"/>
                <w:szCs w:val="21"/>
              </w:rPr>
            </w:pPr>
            <w:r>
              <w:rPr>
                <w:b/>
                <w:sz w:val="21"/>
                <w:szCs w:val="21"/>
              </w:rPr>
              <w:t>2020-N1QMS-1267598</w:t>
            </w:r>
          </w:p>
          <w:p>
            <w:pPr>
              <w:jc w:val="center"/>
              <w:rPr>
                <w:b/>
                <w:sz w:val="21"/>
                <w:szCs w:val="21"/>
              </w:rPr>
            </w:pPr>
            <w:r>
              <w:rPr>
                <w:b/>
                <w:sz w:val="21"/>
                <w:szCs w:val="21"/>
              </w:rPr>
              <w:t>2020-N1EMS-1267598</w:t>
            </w:r>
          </w:p>
        </w:tc>
        <w:tc>
          <w:tcPr>
            <w:tcW w:w="1756" w:type="dxa"/>
            <w:gridSpan w:val="3"/>
            <w:vAlign w:val="center"/>
          </w:tcPr>
          <w:p>
            <w:pPr>
              <w:jc w:val="center"/>
              <w:rPr>
                <w:b/>
                <w:sz w:val="21"/>
                <w:szCs w:val="21"/>
              </w:rPr>
            </w:pPr>
          </w:p>
        </w:tc>
        <w:tc>
          <w:tcPr>
            <w:tcW w:w="1423" w:type="dxa"/>
            <w:vAlign w:val="center"/>
          </w:tcPr>
          <w:p>
            <w:pPr>
              <w:jc w:val="center"/>
              <w:rPr>
                <w:b/>
                <w:sz w:val="21"/>
                <w:szCs w:val="21"/>
              </w:rPr>
            </w:pPr>
            <w:r>
              <w:rPr>
                <w:b/>
                <w:sz w:val="21"/>
                <w:szCs w:val="21"/>
              </w:rPr>
              <w:t>ISC-267598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18" w:type="dxa"/>
          </w:tcPr>
          <w:p>
            <w:pPr>
              <w:rPr>
                <w:b/>
                <w:sz w:val="21"/>
                <w:szCs w:val="21"/>
              </w:rPr>
            </w:pPr>
          </w:p>
        </w:tc>
        <w:tc>
          <w:tcPr>
            <w:tcW w:w="824" w:type="dxa"/>
            <w:gridSpan w:val="2"/>
          </w:tcPr>
          <w:p>
            <w:pPr>
              <w:rPr>
                <w:b/>
                <w:sz w:val="21"/>
                <w:szCs w:val="21"/>
              </w:rPr>
            </w:pPr>
          </w:p>
        </w:tc>
        <w:tc>
          <w:tcPr>
            <w:tcW w:w="1158" w:type="dxa"/>
          </w:tcPr>
          <w:p>
            <w:pPr>
              <w:rPr>
                <w:b/>
                <w:sz w:val="21"/>
                <w:szCs w:val="21"/>
              </w:rPr>
            </w:pPr>
          </w:p>
        </w:tc>
        <w:tc>
          <w:tcPr>
            <w:tcW w:w="1089" w:type="dxa"/>
          </w:tcPr>
          <w:p>
            <w:pPr>
              <w:rPr>
                <w:b/>
                <w:sz w:val="21"/>
                <w:szCs w:val="21"/>
              </w:rPr>
            </w:pPr>
          </w:p>
        </w:tc>
        <w:tc>
          <w:tcPr>
            <w:tcW w:w="2566" w:type="dxa"/>
          </w:tcPr>
          <w:p>
            <w:pPr>
              <w:rPr>
                <w:b/>
                <w:sz w:val="21"/>
                <w:szCs w:val="21"/>
              </w:rPr>
            </w:pPr>
          </w:p>
        </w:tc>
        <w:tc>
          <w:tcPr>
            <w:tcW w:w="1756" w:type="dxa"/>
            <w:gridSpan w:val="3"/>
          </w:tcPr>
          <w:p>
            <w:pPr>
              <w:rPr>
                <w:b/>
                <w:sz w:val="21"/>
                <w:szCs w:val="21"/>
              </w:rPr>
            </w:pPr>
          </w:p>
        </w:tc>
        <w:tc>
          <w:tcPr>
            <w:tcW w:w="1423" w:type="dxa"/>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834" w:type="dxa"/>
            <w:gridSpan w:val="10"/>
          </w:tcPr>
          <w:p>
            <w:pPr>
              <w:rPr>
                <w:b/>
                <w:sz w:val="21"/>
                <w:szCs w:val="21"/>
              </w:rPr>
            </w:pPr>
            <w:r>
              <w:rPr>
                <w:rFonts w:hint="eastAsia"/>
                <w:b/>
                <w:sz w:val="21"/>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158" w:type="dxa"/>
            <w:vAlign w:val="center"/>
          </w:tcPr>
          <w:p>
            <w:pPr>
              <w:jc w:val="center"/>
              <w:rPr>
                <w:b/>
                <w:sz w:val="21"/>
                <w:szCs w:val="21"/>
              </w:rPr>
            </w:pPr>
            <w:r>
              <w:rPr>
                <w:rFonts w:hint="eastAsia"/>
                <w:b/>
                <w:sz w:val="21"/>
                <w:szCs w:val="21"/>
              </w:rPr>
              <w:t>角色</w:t>
            </w:r>
          </w:p>
        </w:tc>
        <w:tc>
          <w:tcPr>
            <w:tcW w:w="6834" w:type="dxa"/>
            <w:gridSpan w:val="6"/>
            <w:vAlign w:val="center"/>
          </w:tcPr>
          <w:p>
            <w:pPr>
              <w:rPr>
                <w:b/>
                <w:sz w:val="21"/>
                <w:szCs w:val="21"/>
              </w:rPr>
            </w:pPr>
            <w:r>
              <w:rPr>
                <w:rFonts w:hint="eastAsia"/>
                <w:b/>
                <w:sz w:val="21"/>
                <w:szCs w:val="21"/>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p>
        </w:tc>
        <w:tc>
          <w:tcPr>
            <w:tcW w:w="824" w:type="dxa"/>
            <w:gridSpan w:val="2"/>
            <w:vAlign w:val="center"/>
          </w:tcPr>
          <w:p>
            <w:pPr>
              <w:jc w:val="center"/>
              <w:rPr>
                <w:b/>
                <w:sz w:val="21"/>
                <w:szCs w:val="21"/>
              </w:rPr>
            </w:pPr>
          </w:p>
        </w:tc>
        <w:tc>
          <w:tcPr>
            <w:tcW w:w="1158" w:type="dxa"/>
            <w:vAlign w:val="center"/>
          </w:tcPr>
          <w:p>
            <w:pPr>
              <w:jc w:val="center"/>
              <w:rPr>
                <w:b/>
                <w:sz w:val="21"/>
                <w:szCs w:val="21"/>
              </w:rPr>
            </w:pPr>
          </w:p>
        </w:tc>
        <w:tc>
          <w:tcPr>
            <w:tcW w:w="6834" w:type="dxa"/>
            <w:gridSpan w:val="6"/>
            <w:vAlign w:val="center"/>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rPr>
            </w:pPr>
          </w:p>
        </w:tc>
        <w:tc>
          <w:tcPr>
            <w:tcW w:w="824" w:type="dxa"/>
            <w:gridSpan w:val="2"/>
            <w:vAlign w:val="center"/>
          </w:tcPr>
          <w:p>
            <w:pPr>
              <w:jc w:val="center"/>
              <w:rPr>
                <w:b/>
              </w:rPr>
            </w:pPr>
          </w:p>
        </w:tc>
        <w:tc>
          <w:tcPr>
            <w:tcW w:w="1158" w:type="dxa"/>
            <w:vAlign w:val="center"/>
          </w:tcPr>
          <w:p>
            <w:pPr>
              <w:jc w:val="center"/>
              <w:rPr>
                <w:b/>
              </w:rPr>
            </w:pPr>
          </w:p>
        </w:tc>
        <w:tc>
          <w:tcPr>
            <w:tcW w:w="6834" w:type="dxa"/>
            <w:gridSpan w:val="6"/>
            <w:vAlign w:val="center"/>
          </w:tcPr>
          <w:p>
            <w:pP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rPr>
            </w:pPr>
          </w:p>
        </w:tc>
        <w:tc>
          <w:tcPr>
            <w:tcW w:w="824" w:type="dxa"/>
            <w:gridSpan w:val="2"/>
            <w:vAlign w:val="center"/>
          </w:tcPr>
          <w:p>
            <w:pPr>
              <w:jc w:val="center"/>
              <w:rPr>
                <w:b/>
              </w:rPr>
            </w:pPr>
          </w:p>
        </w:tc>
        <w:tc>
          <w:tcPr>
            <w:tcW w:w="1158" w:type="dxa"/>
            <w:vAlign w:val="center"/>
          </w:tcPr>
          <w:p>
            <w:pPr>
              <w:jc w:val="center"/>
              <w:rPr>
                <w:b/>
              </w:rPr>
            </w:pPr>
          </w:p>
        </w:tc>
        <w:tc>
          <w:tcPr>
            <w:tcW w:w="6834" w:type="dxa"/>
            <w:gridSpan w:val="6"/>
            <w:vAlign w:val="center"/>
          </w:tcPr>
          <w:p>
            <w:pPr>
              <w:rPr>
                <w:b/>
              </w:rPr>
            </w:pPr>
          </w:p>
        </w:tc>
      </w:tr>
    </w:tbl>
    <w:p>
      <w:pPr>
        <w:tabs>
          <w:tab w:val="left" w:pos="645"/>
        </w:tabs>
        <w:rPr>
          <w:b/>
          <w:sz w:val="26"/>
          <w:szCs w:val="26"/>
        </w:rPr>
      </w:pPr>
      <w:r>
        <w:rPr>
          <w:rFonts w:hint="eastAsia"/>
          <w:b/>
          <w:sz w:val="26"/>
          <w:szCs w:val="26"/>
        </w:rPr>
        <w:t>二、审核目的</w:t>
      </w:r>
    </w:p>
    <w:p>
      <w:pPr>
        <w:tabs>
          <w:tab w:val="left" w:pos="645"/>
        </w:tabs>
        <w:rPr>
          <w:b/>
          <w:sz w:val="21"/>
          <w:szCs w:val="21"/>
        </w:rPr>
      </w:pPr>
      <w:bookmarkStart w:id="3" w:name="审核目的"/>
      <w:r>
        <w:rPr>
          <w:rFonts w:hint="eastAsia"/>
          <w:b/>
          <w:sz w:val="21"/>
          <w:szCs w:val="21"/>
        </w:rPr>
        <w:t>□认证注册：__________</w:t>
      </w:r>
    </w:p>
    <w:p>
      <w:pPr>
        <w:tabs>
          <w:tab w:val="left" w:pos="645"/>
        </w:tabs>
        <w:rPr>
          <w:b/>
          <w:sz w:val="21"/>
          <w:szCs w:val="21"/>
        </w:rPr>
      </w:pPr>
      <w:r>
        <w:rPr>
          <w:rFonts w:hint="eastAsia"/>
          <w:b/>
          <w:sz w:val="21"/>
          <w:szCs w:val="21"/>
        </w:rPr>
        <w:t>☑保持认证注册资格：__________</w:t>
      </w:r>
    </w:p>
    <w:p>
      <w:pPr>
        <w:tabs>
          <w:tab w:val="left" w:pos="645"/>
        </w:tabs>
        <w:rPr>
          <w:b/>
          <w:sz w:val="21"/>
          <w:szCs w:val="21"/>
        </w:rPr>
      </w:pPr>
      <w:r>
        <w:rPr>
          <w:rFonts w:hint="eastAsia"/>
          <w:b/>
          <w:sz w:val="21"/>
          <w:szCs w:val="21"/>
        </w:rPr>
        <w:t>□恢复认证注册资格：__________</w:t>
      </w:r>
    </w:p>
    <w:p>
      <w:pPr>
        <w:tabs>
          <w:tab w:val="left" w:pos="645"/>
        </w:tabs>
        <w:rPr>
          <w:b/>
          <w:sz w:val="21"/>
          <w:szCs w:val="21"/>
        </w:rPr>
      </w:pPr>
      <w:r>
        <w:rPr>
          <w:rFonts w:hint="eastAsia"/>
          <w:b/>
          <w:sz w:val="21"/>
          <w:szCs w:val="21"/>
        </w:rPr>
        <w:t>□扩大认证范围 ：</w:t>
      </w:r>
    </w:p>
    <w:p>
      <w:pPr>
        <w:tabs>
          <w:tab w:val="left" w:pos="645"/>
        </w:tabs>
        <w:rPr>
          <w:b/>
          <w:sz w:val="21"/>
          <w:szCs w:val="21"/>
        </w:rPr>
      </w:pPr>
      <w:r>
        <w:rPr>
          <w:rFonts w:hint="eastAsia"/>
          <w:b/>
          <w:sz w:val="21"/>
          <w:szCs w:val="21"/>
        </w:rPr>
        <w:t>□其它：__________</w:t>
      </w:r>
      <w:bookmarkEnd w:id="3"/>
    </w:p>
    <w:p>
      <w:pPr>
        <w:tabs>
          <w:tab w:val="left" w:pos="645"/>
        </w:tabs>
        <w:rPr>
          <w:b/>
          <w:sz w:val="16"/>
          <w:szCs w:val="16"/>
        </w:rPr>
      </w:pPr>
      <w:r>
        <w:rPr>
          <w:rFonts w:hint="eastAsia"/>
          <w:b/>
          <w:sz w:val="26"/>
          <w:szCs w:val="26"/>
        </w:rPr>
        <w:t>三、审核准则</w:t>
      </w:r>
    </w:p>
    <w:p>
      <w:pPr>
        <w:tabs>
          <w:tab w:val="left" w:pos="645"/>
        </w:tabs>
        <w:rPr>
          <w:b/>
          <w:sz w:val="21"/>
          <w:szCs w:val="21"/>
        </w:rPr>
      </w:pPr>
      <w:bookmarkStart w:id="4" w:name="Q勾选15Add"/>
      <w:r>
        <w:rPr>
          <w:rFonts w:hint="eastAsia"/>
          <w:b/>
          <w:sz w:val="21"/>
          <w:szCs w:val="21"/>
        </w:rPr>
        <w:t>■</w:t>
      </w:r>
      <w:bookmarkEnd w:id="4"/>
      <w:r>
        <w:rPr>
          <w:rFonts w:hint="eastAsia"/>
          <w:b/>
          <w:sz w:val="21"/>
          <w:szCs w:val="21"/>
        </w:rPr>
        <w:t xml:space="preserve"> GB/T 19001:2016 idt ISO 9001:2015标准不适用条款: 8.3条款</w:t>
      </w:r>
    </w:p>
    <w:p>
      <w:pPr>
        <w:tabs>
          <w:tab w:val="left" w:pos="645"/>
        </w:tabs>
        <w:rPr>
          <w:b/>
          <w:sz w:val="21"/>
          <w:szCs w:val="21"/>
        </w:rPr>
      </w:pPr>
      <w:bookmarkStart w:id="5" w:name="QJ勾选Add"/>
      <w:r>
        <w:rPr>
          <w:rFonts w:hint="eastAsia"/>
          <w:b/>
          <w:sz w:val="21"/>
          <w:szCs w:val="21"/>
        </w:rPr>
        <w:t>□</w:t>
      </w:r>
      <w:bookmarkEnd w:id="5"/>
      <w:r>
        <w:rPr>
          <w:rFonts w:hint="eastAsia"/>
          <w:b/>
          <w:sz w:val="21"/>
          <w:szCs w:val="21"/>
        </w:rPr>
        <w:t xml:space="preserve"> GB/T 50430-2017标准不适用条款: </w:t>
      </w:r>
    </w:p>
    <w:p>
      <w:pPr>
        <w:tabs>
          <w:tab w:val="left" w:pos="645"/>
        </w:tabs>
        <w:rPr>
          <w:b/>
          <w:sz w:val="21"/>
          <w:szCs w:val="21"/>
        </w:rPr>
      </w:pPr>
      <w:bookmarkStart w:id="6" w:name="E勾选Add"/>
      <w:r>
        <w:rPr>
          <w:rFonts w:hint="eastAsia"/>
          <w:b/>
          <w:sz w:val="21"/>
          <w:szCs w:val="21"/>
        </w:rPr>
        <w:t>■</w:t>
      </w:r>
      <w:bookmarkEnd w:id="6"/>
      <w:r>
        <w:rPr>
          <w:rFonts w:hint="eastAsia"/>
          <w:b/>
          <w:sz w:val="21"/>
          <w:szCs w:val="21"/>
        </w:rPr>
        <w:t xml:space="preserve"> GB/T 24001-2016 idt ISO 14001:2015标准</w:t>
      </w:r>
    </w:p>
    <w:p>
      <w:pPr>
        <w:tabs>
          <w:tab w:val="left" w:pos="645"/>
        </w:tabs>
        <w:rPr>
          <w:b/>
          <w:sz w:val="21"/>
          <w:szCs w:val="21"/>
        </w:rPr>
      </w:pPr>
      <w:r>
        <w:rPr>
          <w:rFonts w:hint="eastAsia"/>
          <w:b/>
          <w:sz w:val="21"/>
          <w:szCs w:val="21"/>
        </w:rPr>
        <w:t>□  GB/T 28001-2011 idt OHSMS 18001:2007标准</w:t>
      </w:r>
    </w:p>
    <w:p>
      <w:pPr>
        <w:tabs>
          <w:tab w:val="left" w:pos="645"/>
        </w:tabs>
        <w:rPr>
          <w:b/>
          <w:sz w:val="21"/>
          <w:szCs w:val="21"/>
        </w:rPr>
      </w:pPr>
      <w:bookmarkStart w:id="7" w:name="S勾选Add1"/>
      <w:r>
        <w:rPr>
          <w:rFonts w:hint="eastAsia"/>
          <w:b/>
          <w:sz w:val="21"/>
          <w:szCs w:val="21"/>
        </w:rPr>
        <w:t>■</w:t>
      </w:r>
      <w:bookmarkEnd w:id="7"/>
      <w:r>
        <w:rPr>
          <w:rFonts w:hint="eastAsia"/>
          <w:b/>
          <w:sz w:val="21"/>
          <w:szCs w:val="21"/>
        </w:rPr>
        <w:t xml:space="preserve"> ISO45001：2018标准</w:t>
      </w:r>
    </w:p>
    <w:p>
      <w:pPr>
        <w:tabs>
          <w:tab w:val="left" w:pos="645"/>
        </w:tabs>
        <w:rPr>
          <w:b/>
          <w:sz w:val="21"/>
          <w:szCs w:val="21"/>
        </w:rPr>
      </w:pPr>
      <w:r>
        <w:rPr>
          <w:rFonts w:hint="eastAsia"/>
          <w:b/>
          <w:sz w:val="21"/>
          <w:szCs w:val="21"/>
        </w:rPr>
        <w:t>□受审核方管理体系文件□适用的法律法规□认证合同</w:t>
      </w:r>
    </w:p>
    <w:p>
      <w:pPr>
        <w:tabs>
          <w:tab w:val="left" w:pos="645"/>
        </w:tabs>
        <w:rPr>
          <w:b/>
          <w:sz w:val="16"/>
          <w:szCs w:val="16"/>
        </w:rPr>
      </w:pPr>
      <w:r>
        <w:rPr>
          <w:rFonts w:hint="eastAsia"/>
          <w:b/>
          <w:sz w:val="26"/>
          <w:szCs w:val="26"/>
        </w:rPr>
        <w:t>四、受审核方基本信息</w:t>
      </w:r>
    </w:p>
    <w:tbl>
      <w:tblPr>
        <w:tblStyle w:val="6"/>
        <w:tblW w:w="98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1"/>
        <w:gridCol w:w="827"/>
        <w:gridCol w:w="1950"/>
        <w:gridCol w:w="1198"/>
        <w:gridCol w:w="1609"/>
        <w:gridCol w:w="9"/>
        <w:gridCol w:w="1672"/>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1868" w:type="dxa"/>
            <w:gridSpan w:val="2"/>
            <w:vAlign w:val="center"/>
          </w:tcPr>
          <w:p>
            <w:pPr>
              <w:jc w:val="center"/>
              <w:rPr>
                <w:rFonts w:ascii="宋体"/>
                <w:b/>
                <w:sz w:val="21"/>
                <w:szCs w:val="22"/>
              </w:rPr>
            </w:pPr>
            <w:r>
              <w:rPr>
                <w:rFonts w:hint="eastAsia" w:ascii="宋体"/>
                <w:b/>
                <w:sz w:val="21"/>
                <w:szCs w:val="22"/>
              </w:rPr>
              <w:t>受审核方名称</w:t>
            </w:r>
          </w:p>
        </w:tc>
        <w:tc>
          <w:tcPr>
            <w:tcW w:w="4766" w:type="dxa"/>
            <w:gridSpan w:val="4"/>
          </w:tcPr>
          <w:p>
            <w:pPr>
              <w:rPr>
                <w:rFonts w:ascii="宋体"/>
                <w:b/>
                <w:sz w:val="21"/>
                <w:szCs w:val="22"/>
              </w:rPr>
            </w:pPr>
            <w:bookmarkStart w:id="8" w:name="组织名称Add"/>
            <w:r>
              <w:rPr>
                <w:rFonts w:ascii="宋体"/>
                <w:b/>
                <w:sz w:val="21"/>
                <w:szCs w:val="22"/>
              </w:rPr>
              <w:t>四川阳森石油技术有限公司</w:t>
            </w:r>
            <w:bookmarkEnd w:id="8"/>
          </w:p>
        </w:tc>
        <w:tc>
          <w:tcPr>
            <w:tcW w:w="1672" w:type="dxa"/>
            <w:vAlign w:val="center"/>
          </w:tcPr>
          <w:p>
            <w:pPr>
              <w:spacing w:line="260" w:lineRule="exact"/>
              <w:jc w:val="center"/>
              <w:rPr>
                <w:rFonts w:ascii="宋体"/>
                <w:b/>
                <w:sz w:val="21"/>
              </w:rPr>
            </w:pPr>
            <w:r>
              <w:rPr>
                <w:rFonts w:hint="eastAsia" w:ascii="宋体" w:hAnsi="宋体"/>
                <w:b/>
                <w:sz w:val="21"/>
              </w:rPr>
              <w:t>组织人数及</w:t>
            </w:r>
          </w:p>
          <w:p>
            <w:pPr>
              <w:spacing w:line="200" w:lineRule="exact"/>
              <w:rPr>
                <w:b/>
                <w:spacing w:val="-20"/>
              </w:rPr>
            </w:pPr>
            <w:r>
              <w:rPr>
                <w:rFonts w:hint="eastAsia" w:ascii="宋体" w:hAnsi="宋体"/>
                <w:b/>
                <w:sz w:val="21"/>
              </w:rPr>
              <w:t>变动情况核实</w:t>
            </w:r>
          </w:p>
        </w:tc>
        <w:tc>
          <w:tcPr>
            <w:tcW w:w="1500" w:type="dxa"/>
          </w:tcPr>
          <w:p>
            <w:pPr>
              <w:spacing w:line="260" w:lineRule="exact"/>
              <w:rPr>
                <w:rFonts w:ascii="宋体"/>
                <w:b/>
                <w:sz w:val="21"/>
              </w:rPr>
            </w:pPr>
            <w:r>
              <w:rPr>
                <w:rFonts w:ascii="宋体"/>
                <w:b/>
                <w:sz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1868" w:type="dxa"/>
            <w:gridSpan w:val="2"/>
            <w:vAlign w:val="center"/>
          </w:tcPr>
          <w:p>
            <w:pPr>
              <w:jc w:val="center"/>
              <w:rPr>
                <w:b/>
                <w:sz w:val="16"/>
                <w:szCs w:val="16"/>
              </w:rPr>
            </w:pPr>
            <w:r>
              <w:rPr>
                <w:rFonts w:hint="eastAsia" w:ascii="宋体" w:hAnsi="宋体"/>
                <w:b/>
                <w:sz w:val="21"/>
                <w:szCs w:val="21"/>
              </w:rPr>
              <w:t>注册地址</w:t>
            </w:r>
          </w:p>
        </w:tc>
        <w:tc>
          <w:tcPr>
            <w:tcW w:w="4766" w:type="dxa"/>
            <w:gridSpan w:val="4"/>
          </w:tcPr>
          <w:p>
            <w:pPr>
              <w:rPr>
                <w:rFonts w:ascii="宋体"/>
                <w:b/>
                <w:sz w:val="21"/>
              </w:rPr>
            </w:pPr>
            <w:bookmarkStart w:id="9" w:name="注册地址"/>
            <w:r>
              <w:rPr>
                <w:rFonts w:ascii="宋体"/>
                <w:b/>
                <w:sz w:val="21"/>
              </w:rPr>
              <w:t>四川省德阳市区岷江西路一段256号德阳·汇通大厦A栋写22-2号</w:t>
            </w:r>
            <w:bookmarkEnd w:id="9"/>
          </w:p>
        </w:tc>
        <w:tc>
          <w:tcPr>
            <w:tcW w:w="1672" w:type="dxa"/>
            <w:vMerge w:val="restart"/>
            <w:vAlign w:val="center"/>
          </w:tcPr>
          <w:p>
            <w:pPr>
              <w:jc w:val="center"/>
              <w:rPr>
                <w:rFonts w:ascii="宋体"/>
                <w:b/>
                <w:sz w:val="21"/>
              </w:rPr>
            </w:pPr>
            <w:r>
              <w:rPr>
                <w:rFonts w:hint="eastAsia" w:ascii="宋体" w:hAnsi="宋体"/>
                <w:b/>
                <w:sz w:val="21"/>
              </w:rPr>
              <w:t>邮编</w:t>
            </w:r>
          </w:p>
        </w:tc>
        <w:tc>
          <w:tcPr>
            <w:tcW w:w="1500" w:type="dxa"/>
          </w:tcPr>
          <w:p>
            <w:pPr>
              <w:rPr>
                <w:rFonts w:ascii="宋体"/>
                <w:b/>
                <w:sz w:val="21"/>
              </w:rPr>
            </w:pPr>
            <w:bookmarkStart w:id="10" w:name="注册邮编"/>
            <w:r>
              <w:rPr>
                <w:rFonts w:ascii="宋体"/>
                <w:b/>
                <w:sz w:val="21"/>
              </w:rPr>
              <w:t>618000</w:t>
            </w:r>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1868" w:type="dxa"/>
            <w:gridSpan w:val="2"/>
            <w:vAlign w:val="center"/>
          </w:tcPr>
          <w:p>
            <w:pPr>
              <w:jc w:val="center"/>
              <w:rPr>
                <w:rFonts w:ascii="宋体"/>
                <w:b/>
                <w:sz w:val="21"/>
                <w:szCs w:val="21"/>
              </w:rPr>
            </w:pPr>
            <w:r>
              <w:rPr>
                <w:rFonts w:hint="eastAsia" w:ascii="宋体" w:hAnsi="宋体"/>
                <w:b/>
                <w:sz w:val="21"/>
                <w:szCs w:val="21"/>
              </w:rPr>
              <w:t>经营地址</w:t>
            </w:r>
          </w:p>
        </w:tc>
        <w:tc>
          <w:tcPr>
            <w:tcW w:w="4766" w:type="dxa"/>
            <w:gridSpan w:val="4"/>
          </w:tcPr>
          <w:p>
            <w:pPr>
              <w:rPr>
                <w:rFonts w:ascii="宋体"/>
                <w:b/>
                <w:sz w:val="21"/>
              </w:rPr>
            </w:pPr>
            <w:bookmarkStart w:id="11" w:name="办公地址"/>
            <w:r>
              <w:rPr>
                <w:rFonts w:ascii="宋体"/>
                <w:b/>
                <w:sz w:val="21"/>
              </w:rPr>
              <w:t>四川省德阳市区岷江西路一段256号德阳·汇通大厦A栋写22-2号</w:t>
            </w:r>
            <w:bookmarkEnd w:id="11"/>
          </w:p>
        </w:tc>
        <w:tc>
          <w:tcPr>
            <w:tcW w:w="1672" w:type="dxa"/>
            <w:vMerge w:val="continue"/>
            <w:vAlign w:val="center"/>
          </w:tcPr>
          <w:p>
            <w:pPr>
              <w:jc w:val="center"/>
              <w:rPr>
                <w:rFonts w:ascii="宋体"/>
                <w:b/>
                <w:sz w:val="21"/>
              </w:rPr>
            </w:pPr>
          </w:p>
        </w:tc>
        <w:tc>
          <w:tcPr>
            <w:tcW w:w="1500" w:type="dxa"/>
          </w:tcPr>
          <w:p>
            <w:pPr>
              <w:rPr>
                <w:rFonts w:ascii="宋体"/>
                <w:b/>
                <w:sz w:val="21"/>
              </w:rPr>
            </w:pPr>
            <w:bookmarkStart w:id="12" w:name="办公邮编"/>
            <w:r>
              <w:rPr>
                <w:rFonts w:ascii="宋体"/>
                <w:b/>
                <w:sz w:val="21"/>
              </w:rPr>
              <w:t>618000</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868" w:type="dxa"/>
            <w:gridSpan w:val="2"/>
            <w:vAlign w:val="center"/>
          </w:tcPr>
          <w:p>
            <w:pPr>
              <w:jc w:val="center"/>
              <w:rPr>
                <w:rFonts w:ascii="宋体"/>
                <w:b/>
                <w:color w:val="000000"/>
                <w:sz w:val="21"/>
                <w:szCs w:val="21"/>
              </w:rPr>
            </w:pPr>
            <w:r>
              <w:rPr>
                <w:rFonts w:hint="eastAsia" w:ascii="宋体" w:hAnsi="宋体"/>
                <w:b/>
                <w:color w:val="000000"/>
                <w:sz w:val="21"/>
                <w:szCs w:val="21"/>
              </w:rPr>
              <w:t>生产地址</w:t>
            </w:r>
          </w:p>
        </w:tc>
        <w:tc>
          <w:tcPr>
            <w:tcW w:w="4766" w:type="dxa"/>
            <w:gridSpan w:val="4"/>
          </w:tcPr>
          <w:p>
            <w:pPr>
              <w:rPr>
                <w:rFonts w:ascii="宋体"/>
                <w:b/>
                <w:sz w:val="21"/>
              </w:rPr>
            </w:pPr>
          </w:p>
        </w:tc>
        <w:tc>
          <w:tcPr>
            <w:tcW w:w="1672" w:type="dxa"/>
            <w:vMerge w:val="continue"/>
            <w:vAlign w:val="center"/>
          </w:tcPr>
          <w:p>
            <w:pPr>
              <w:jc w:val="center"/>
              <w:rPr>
                <w:rFonts w:ascii="宋体"/>
                <w:b/>
                <w:sz w:val="21"/>
              </w:rPr>
            </w:pPr>
          </w:p>
        </w:tc>
        <w:tc>
          <w:tcPr>
            <w:tcW w:w="1500" w:type="dxa"/>
          </w:tcPr>
          <w:p>
            <w:pPr>
              <w:rPr>
                <w:rFonts w:ascii="宋体"/>
                <w:b/>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1868" w:type="dxa"/>
            <w:gridSpan w:val="2"/>
            <w:vAlign w:val="center"/>
          </w:tcPr>
          <w:p>
            <w:pPr>
              <w:jc w:val="center"/>
              <w:rPr>
                <w:rFonts w:ascii="宋体"/>
                <w:b/>
                <w:sz w:val="21"/>
              </w:rPr>
            </w:pPr>
            <w:r>
              <w:rPr>
                <w:rFonts w:hint="eastAsia" w:ascii="宋体" w:hAnsi="宋体"/>
                <w:b/>
                <w:sz w:val="21"/>
              </w:rPr>
              <w:t>联系人</w:t>
            </w:r>
          </w:p>
        </w:tc>
        <w:tc>
          <w:tcPr>
            <w:tcW w:w="1950" w:type="dxa"/>
          </w:tcPr>
          <w:p>
            <w:pPr>
              <w:rPr>
                <w:rFonts w:ascii="宋体"/>
                <w:b/>
                <w:sz w:val="21"/>
              </w:rPr>
            </w:pPr>
            <w:bookmarkStart w:id="13" w:name="联系人"/>
            <w:r>
              <w:rPr>
                <w:rFonts w:ascii="宋体"/>
                <w:b/>
                <w:sz w:val="21"/>
              </w:rPr>
              <w:t>龙艳丽</w:t>
            </w:r>
            <w:bookmarkEnd w:id="13"/>
          </w:p>
        </w:tc>
        <w:tc>
          <w:tcPr>
            <w:tcW w:w="1198" w:type="dxa"/>
            <w:vAlign w:val="center"/>
          </w:tcPr>
          <w:p>
            <w:pPr>
              <w:jc w:val="center"/>
              <w:rPr>
                <w:rFonts w:ascii="宋体"/>
                <w:b/>
                <w:sz w:val="21"/>
              </w:rPr>
            </w:pPr>
            <w:r>
              <w:rPr>
                <w:rFonts w:hint="eastAsia" w:ascii="宋体" w:hAnsi="宋体"/>
                <w:b/>
                <w:sz w:val="21"/>
              </w:rPr>
              <w:t>电话</w:t>
            </w:r>
            <w:r>
              <w:rPr>
                <w:b/>
                <w:sz w:val="16"/>
                <w:szCs w:val="16"/>
              </w:rPr>
              <w:t>.</w:t>
            </w:r>
          </w:p>
        </w:tc>
        <w:tc>
          <w:tcPr>
            <w:tcW w:w="1618" w:type="dxa"/>
            <w:gridSpan w:val="2"/>
            <w:vAlign w:val="center"/>
          </w:tcPr>
          <w:p>
            <w:pPr>
              <w:jc w:val="center"/>
              <w:rPr>
                <w:rFonts w:ascii="宋体"/>
                <w:b/>
                <w:sz w:val="21"/>
              </w:rPr>
            </w:pPr>
            <w:bookmarkStart w:id="14" w:name="联系人电话Add"/>
            <w:r>
              <w:rPr>
                <w:rFonts w:ascii="宋体"/>
                <w:b/>
                <w:sz w:val="21"/>
              </w:rPr>
              <w:t>0838-2908498</w:t>
            </w:r>
            <w:bookmarkEnd w:id="14"/>
          </w:p>
        </w:tc>
        <w:tc>
          <w:tcPr>
            <w:tcW w:w="1672" w:type="dxa"/>
            <w:vAlign w:val="center"/>
          </w:tcPr>
          <w:p>
            <w:pPr>
              <w:jc w:val="center"/>
              <w:rPr>
                <w:rFonts w:ascii="宋体"/>
                <w:b/>
                <w:sz w:val="21"/>
              </w:rPr>
            </w:pPr>
            <w:r>
              <w:rPr>
                <w:rFonts w:hint="eastAsia" w:ascii="宋体" w:hAnsi="宋体"/>
                <w:b/>
                <w:sz w:val="21"/>
              </w:rPr>
              <w:t>传真</w:t>
            </w:r>
          </w:p>
        </w:tc>
        <w:tc>
          <w:tcPr>
            <w:tcW w:w="1500" w:type="dxa"/>
          </w:tcPr>
          <w:p>
            <w:pPr>
              <w:rPr>
                <w:rFonts w:ascii="宋体"/>
                <w:b/>
                <w:sz w:val="21"/>
              </w:rPr>
            </w:pPr>
            <w:bookmarkStart w:id="15" w:name="联系人传真"/>
            <w:r>
              <w:rPr>
                <w:rFonts w:ascii="宋体"/>
                <w:b/>
                <w:sz w:val="21"/>
              </w:rPr>
              <w:t>0838-2908498</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868" w:type="dxa"/>
            <w:gridSpan w:val="2"/>
            <w:vAlign w:val="center"/>
          </w:tcPr>
          <w:p>
            <w:pPr>
              <w:jc w:val="center"/>
              <w:rPr>
                <w:rFonts w:ascii="宋体" w:hAnsi="宋体"/>
                <w:b/>
                <w:sz w:val="21"/>
                <w:szCs w:val="21"/>
              </w:rPr>
            </w:pPr>
            <w:r>
              <w:rPr>
                <w:rFonts w:hint="eastAsia" w:ascii="宋体" w:hAnsi="宋体"/>
                <w:b/>
                <w:sz w:val="21"/>
                <w:szCs w:val="21"/>
              </w:rPr>
              <w:t>法人代表</w:t>
            </w:r>
          </w:p>
        </w:tc>
        <w:tc>
          <w:tcPr>
            <w:tcW w:w="1950" w:type="dxa"/>
          </w:tcPr>
          <w:p>
            <w:pPr>
              <w:rPr>
                <w:rFonts w:ascii="宋体" w:hAnsi="宋体"/>
                <w:b/>
                <w:sz w:val="21"/>
                <w:szCs w:val="21"/>
              </w:rPr>
            </w:pPr>
            <w:bookmarkStart w:id="16" w:name="法人"/>
            <w:r>
              <w:rPr>
                <w:rFonts w:ascii="宋体" w:hAnsi="宋体"/>
                <w:b/>
                <w:sz w:val="21"/>
                <w:szCs w:val="21"/>
              </w:rPr>
              <w:t>祁向清</w:t>
            </w:r>
            <w:bookmarkEnd w:id="16"/>
          </w:p>
        </w:tc>
        <w:tc>
          <w:tcPr>
            <w:tcW w:w="1198" w:type="dxa"/>
            <w:vAlign w:val="center"/>
          </w:tcPr>
          <w:p>
            <w:pPr>
              <w:jc w:val="center"/>
              <w:rPr>
                <w:rFonts w:ascii="宋体" w:hAnsi="宋体"/>
                <w:b/>
                <w:sz w:val="21"/>
                <w:szCs w:val="21"/>
              </w:rPr>
            </w:pPr>
            <w:r>
              <w:rPr>
                <w:rFonts w:hint="eastAsia" w:ascii="宋体" w:hAnsi="宋体"/>
                <w:b/>
                <w:sz w:val="21"/>
                <w:szCs w:val="21"/>
              </w:rPr>
              <w:t>总经理</w:t>
            </w:r>
          </w:p>
        </w:tc>
        <w:tc>
          <w:tcPr>
            <w:tcW w:w="1618" w:type="dxa"/>
            <w:gridSpan w:val="2"/>
          </w:tcPr>
          <w:p>
            <w:pPr>
              <w:rPr>
                <w:rFonts w:ascii="宋体" w:hAnsi="宋体"/>
                <w:b/>
                <w:sz w:val="21"/>
                <w:szCs w:val="21"/>
              </w:rPr>
            </w:pPr>
            <w:r>
              <w:rPr>
                <w:rFonts w:ascii="宋体" w:hAnsi="宋体"/>
                <w:b/>
                <w:sz w:val="21"/>
                <w:szCs w:val="21"/>
              </w:rPr>
              <w:t>祁向清</w:t>
            </w:r>
          </w:p>
        </w:tc>
        <w:tc>
          <w:tcPr>
            <w:tcW w:w="1672" w:type="dxa"/>
            <w:vAlign w:val="center"/>
          </w:tcPr>
          <w:p>
            <w:pPr>
              <w:jc w:val="center"/>
              <w:rPr>
                <w:rFonts w:ascii="宋体" w:hAnsi="宋体"/>
                <w:b/>
                <w:sz w:val="21"/>
                <w:szCs w:val="21"/>
              </w:rPr>
            </w:pPr>
            <w:r>
              <w:rPr>
                <w:rFonts w:hint="eastAsia" w:ascii="宋体" w:hAnsi="宋体"/>
                <w:b/>
                <w:sz w:val="21"/>
                <w:szCs w:val="21"/>
              </w:rPr>
              <w:t>管理者代表</w:t>
            </w:r>
          </w:p>
        </w:tc>
        <w:tc>
          <w:tcPr>
            <w:tcW w:w="1500" w:type="dxa"/>
          </w:tcPr>
          <w:p>
            <w:pPr>
              <w:rPr>
                <w:rFonts w:ascii="宋体"/>
                <w:b/>
                <w:sz w:val="21"/>
              </w:rPr>
            </w:pPr>
            <w:bookmarkStart w:id="17" w:name="管理者代表"/>
            <w:r>
              <w:rPr>
                <w:rFonts w:ascii="宋体"/>
                <w:b/>
                <w:sz w:val="21"/>
              </w:rPr>
              <w:t>祁向清</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868" w:type="dxa"/>
            <w:gridSpan w:val="2"/>
            <w:vAlign w:val="center"/>
          </w:tcPr>
          <w:p>
            <w:pPr>
              <w:jc w:val="center"/>
              <w:rPr>
                <w:rFonts w:ascii="宋体" w:hAnsi="宋体"/>
                <w:b/>
                <w:sz w:val="21"/>
                <w:szCs w:val="21"/>
              </w:rPr>
            </w:pPr>
            <w:r>
              <w:rPr>
                <w:rFonts w:hint="eastAsia" w:ascii="宋体" w:hAnsi="宋体"/>
                <w:b/>
                <w:sz w:val="21"/>
                <w:szCs w:val="21"/>
              </w:rPr>
              <w:t>审核日期</w:t>
            </w:r>
          </w:p>
        </w:tc>
        <w:tc>
          <w:tcPr>
            <w:tcW w:w="3148" w:type="dxa"/>
            <w:gridSpan w:val="2"/>
            <w:vAlign w:val="center"/>
          </w:tcPr>
          <w:p>
            <w:pPr>
              <w:rPr>
                <w:rFonts w:ascii="宋体" w:hAnsi="宋体"/>
                <w:b/>
                <w:sz w:val="21"/>
                <w:szCs w:val="21"/>
              </w:rPr>
            </w:pPr>
            <w:bookmarkStart w:id="18" w:name="审核日期"/>
            <w:r>
              <w:rPr>
                <w:rFonts w:ascii="宋体" w:hAnsi="宋体"/>
                <w:b/>
                <w:sz w:val="21"/>
                <w:szCs w:val="21"/>
              </w:rPr>
              <w:t>2021年04月28日 上午至2021年04月28日 下午</w:t>
            </w:r>
            <w:bookmarkEnd w:id="18"/>
          </w:p>
        </w:tc>
        <w:tc>
          <w:tcPr>
            <w:tcW w:w="1609" w:type="dxa"/>
            <w:vAlign w:val="center"/>
          </w:tcPr>
          <w:p>
            <w:pPr>
              <w:rPr>
                <w:rFonts w:ascii="宋体" w:hAnsi="宋体"/>
                <w:b/>
                <w:sz w:val="21"/>
                <w:szCs w:val="21"/>
              </w:rPr>
            </w:pPr>
            <w:r>
              <w:rPr>
                <w:rFonts w:hint="eastAsia" w:ascii="宋体" w:hAnsi="宋体"/>
                <w:b/>
                <w:sz w:val="21"/>
                <w:szCs w:val="21"/>
              </w:rPr>
              <w:t>一体化审核</w:t>
            </w:r>
          </w:p>
        </w:tc>
        <w:tc>
          <w:tcPr>
            <w:tcW w:w="3181" w:type="dxa"/>
            <w:gridSpan w:val="3"/>
            <w:vAlign w:val="center"/>
          </w:tcPr>
          <w:p>
            <w:pPr>
              <w:rPr>
                <w:rFonts w:ascii="宋体" w:hAnsi="宋体"/>
                <w:b/>
                <w:sz w:val="21"/>
                <w:szCs w:val="21"/>
              </w:rPr>
            </w:pPr>
            <w:r>
              <w:rPr>
                <w:rFonts w:hint="eastAsia" w:ascii="宋体" w:hAnsi="宋体"/>
                <w:b/>
                <w:sz w:val="21"/>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6" w:hRule="atLeast"/>
          <w:jc w:val="center"/>
        </w:trPr>
        <w:tc>
          <w:tcPr>
            <w:tcW w:w="1868" w:type="dxa"/>
            <w:gridSpan w:val="2"/>
            <w:vAlign w:val="center"/>
          </w:tcPr>
          <w:p>
            <w:pPr>
              <w:spacing w:line="260" w:lineRule="exact"/>
              <w:jc w:val="center"/>
              <w:rPr>
                <w:rFonts w:ascii="宋体" w:hAnsi="宋体"/>
                <w:b/>
                <w:sz w:val="21"/>
                <w:szCs w:val="21"/>
              </w:rPr>
            </w:pPr>
            <w:r>
              <w:rPr>
                <w:rFonts w:hint="eastAsia" w:ascii="宋体" w:hAnsi="宋体"/>
                <w:b/>
                <w:sz w:val="21"/>
                <w:szCs w:val="21"/>
              </w:rPr>
              <w:t>产品</w:t>
            </w:r>
            <w:r>
              <w:rPr>
                <w:rFonts w:ascii="宋体" w:hAnsi="宋体"/>
                <w:b/>
                <w:sz w:val="21"/>
                <w:szCs w:val="21"/>
              </w:rPr>
              <w:t>/</w:t>
            </w:r>
            <w:r>
              <w:rPr>
                <w:rFonts w:hint="eastAsia" w:ascii="宋体" w:hAnsi="宋体"/>
                <w:b/>
                <w:sz w:val="21"/>
                <w:szCs w:val="21"/>
              </w:rPr>
              <w:t>服务认证范围</w:t>
            </w:r>
          </w:p>
        </w:tc>
        <w:tc>
          <w:tcPr>
            <w:tcW w:w="7938" w:type="dxa"/>
            <w:gridSpan w:val="6"/>
          </w:tcPr>
          <w:p>
            <w:pPr>
              <w:spacing w:line="260" w:lineRule="exact"/>
              <w:jc w:val="left"/>
              <w:rPr>
                <w:rFonts w:ascii="宋体" w:hAnsi="宋体"/>
                <w:b/>
                <w:sz w:val="21"/>
                <w:szCs w:val="21"/>
              </w:rPr>
            </w:pPr>
            <w:bookmarkStart w:id="19" w:name="Q勾选15Add1"/>
            <w:r>
              <w:rPr>
                <w:rFonts w:hint="eastAsia" w:ascii="宋体" w:hAnsi="宋体"/>
                <w:b/>
                <w:sz w:val="21"/>
                <w:szCs w:val="21"/>
              </w:rPr>
              <w:t>■</w:t>
            </w:r>
            <w:bookmarkEnd w:id="19"/>
            <w:r>
              <w:rPr>
                <w:rFonts w:ascii="宋体" w:hAnsi="宋体"/>
                <w:b/>
                <w:sz w:val="21"/>
                <w:szCs w:val="21"/>
              </w:rPr>
              <w:t>QM</w:t>
            </w:r>
            <w:r>
              <w:rPr>
                <w:rFonts w:hint="eastAsia" w:ascii="宋体" w:hAnsi="宋体"/>
                <w:b/>
                <w:sz w:val="21"/>
                <w:szCs w:val="21"/>
              </w:rPr>
              <w:t>S：水处理药剂（危化品除外）的销售；废水、固体废弃物处理(限许可范围内)的技术服务；</w:t>
            </w:r>
          </w:p>
          <w:p>
            <w:pPr>
              <w:spacing w:line="260" w:lineRule="exact"/>
              <w:jc w:val="left"/>
              <w:rPr>
                <w:rFonts w:ascii="宋体" w:hAnsi="宋体"/>
                <w:b/>
                <w:sz w:val="21"/>
                <w:szCs w:val="21"/>
              </w:rPr>
            </w:pPr>
            <w:bookmarkStart w:id="20" w:name="E勾选Add1"/>
            <w:r>
              <w:rPr>
                <w:rFonts w:hint="eastAsia" w:ascii="宋体" w:hAnsi="宋体"/>
                <w:b/>
                <w:sz w:val="21"/>
                <w:szCs w:val="21"/>
              </w:rPr>
              <w:t>■</w:t>
            </w:r>
            <w:bookmarkEnd w:id="20"/>
            <w:r>
              <w:rPr>
                <w:rFonts w:hint="eastAsia" w:ascii="宋体" w:hAnsi="宋体"/>
                <w:b/>
                <w:sz w:val="21"/>
                <w:szCs w:val="21"/>
              </w:rPr>
              <w:t>EMS：水处理药剂（危化品除外）的销售；废水、固体废弃物处理(限许可范围内)的技术服务及相关环境管理活动；</w:t>
            </w:r>
          </w:p>
          <w:p>
            <w:pPr>
              <w:spacing w:line="260" w:lineRule="exact"/>
              <w:jc w:val="left"/>
              <w:rPr>
                <w:rFonts w:ascii="宋体" w:hAnsi="宋体"/>
                <w:b/>
                <w:sz w:val="21"/>
                <w:szCs w:val="21"/>
              </w:rPr>
            </w:pPr>
            <w:bookmarkStart w:id="21" w:name="S勾选Add2"/>
            <w:r>
              <w:rPr>
                <w:rFonts w:hint="eastAsia" w:ascii="宋体" w:hAnsi="宋体"/>
                <w:b/>
                <w:sz w:val="21"/>
                <w:szCs w:val="21"/>
              </w:rPr>
              <w:t>■</w:t>
            </w:r>
            <w:bookmarkEnd w:id="21"/>
            <w:r>
              <w:rPr>
                <w:rFonts w:hint="eastAsia" w:ascii="宋体" w:hAnsi="宋体"/>
                <w:b/>
                <w:sz w:val="21"/>
                <w:szCs w:val="21"/>
              </w:rPr>
              <w:t>OHSMS：水处理药剂（危化品除外）的销售；废水、固体废弃物处理(限许可范围内)的技术服务及相关职业健康安全管理活动。</w:t>
            </w:r>
            <w:r>
              <w:rPr>
                <w:rFonts w:hint="eastAsia" w:ascii="宋体" w:hAnsi="宋体"/>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1041" w:type="dxa"/>
            <w:vAlign w:val="center"/>
          </w:tcPr>
          <w:p>
            <w:pPr>
              <w:spacing w:line="260" w:lineRule="exact"/>
              <w:jc w:val="center"/>
              <w:rPr>
                <w:rFonts w:ascii="宋体" w:hAnsi="宋体"/>
                <w:b/>
                <w:sz w:val="21"/>
                <w:szCs w:val="21"/>
              </w:rPr>
            </w:pPr>
            <w:r>
              <w:rPr>
                <w:rFonts w:hint="eastAsia" w:ascii="宋体" w:hAnsi="宋体"/>
                <w:b/>
                <w:sz w:val="21"/>
                <w:szCs w:val="21"/>
              </w:rPr>
              <w:t>是否要求变更</w:t>
            </w:r>
          </w:p>
          <w:p>
            <w:pPr>
              <w:spacing w:line="180" w:lineRule="exact"/>
              <w:jc w:val="center"/>
              <w:rPr>
                <w:rFonts w:ascii="宋体" w:hAnsi="宋体"/>
                <w:b/>
                <w:sz w:val="21"/>
                <w:szCs w:val="21"/>
              </w:rPr>
            </w:pPr>
          </w:p>
        </w:tc>
        <w:tc>
          <w:tcPr>
            <w:tcW w:w="827" w:type="dxa"/>
            <w:vAlign w:val="center"/>
          </w:tcPr>
          <w:p>
            <w:pPr>
              <w:spacing w:line="260" w:lineRule="exact"/>
              <w:rPr>
                <w:rFonts w:ascii="宋体" w:hAnsi="宋体"/>
                <w:b/>
                <w:sz w:val="21"/>
                <w:szCs w:val="21"/>
              </w:rPr>
            </w:pPr>
            <w:r>
              <w:rPr>
                <w:rFonts w:hint="eastAsia" w:ascii="宋体" w:hAnsi="宋体"/>
                <w:b/>
                <w:sz w:val="21"/>
                <w:szCs w:val="21"/>
              </w:rPr>
              <w:t>□是</w:t>
            </w:r>
          </w:p>
          <w:p>
            <w:pPr>
              <w:spacing w:line="260" w:lineRule="exact"/>
              <w:rPr>
                <w:rFonts w:ascii="宋体" w:hAnsi="宋体"/>
                <w:b/>
                <w:sz w:val="21"/>
                <w:szCs w:val="21"/>
              </w:rPr>
            </w:pPr>
            <w:r>
              <w:rPr>
                <w:rFonts w:hint="eastAsia" w:ascii="宋体" w:hAnsi="宋体"/>
                <w:b/>
                <w:sz w:val="21"/>
                <w:szCs w:val="21"/>
              </w:rPr>
              <w:t>■否</w:t>
            </w:r>
          </w:p>
        </w:tc>
        <w:tc>
          <w:tcPr>
            <w:tcW w:w="7938" w:type="dxa"/>
            <w:gridSpan w:val="6"/>
          </w:tcPr>
          <w:p>
            <w:pPr>
              <w:spacing w:line="360" w:lineRule="exact"/>
              <w:rPr>
                <w:rFonts w:ascii="宋体" w:hAnsi="宋体"/>
                <w:b/>
                <w:sz w:val="21"/>
                <w:szCs w:val="21"/>
              </w:rPr>
            </w:pPr>
            <w:r>
              <w:rPr>
                <w:rFonts w:hint="eastAsia" w:ascii="宋体" w:hAnsi="宋体"/>
                <w:b/>
                <w:sz w:val="21"/>
                <w:szCs w:val="21"/>
              </w:rPr>
              <w:t>变更的认证范围</w:t>
            </w:r>
            <w:r>
              <w:rPr>
                <w:rFonts w:ascii="宋体" w:hAnsi="宋体"/>
                <w:b/>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68" w:type="dxa"/>
            <w:gridSpan w:val="2"/>
            <w:vAlign w:val="center"/>
          </w:tcPr>
          <w:p>
            <w:pPr>
              <w:spacing w:line="260" w:lineRule="exact"/>
              <w:jc w:val="center"/>
              <w:rPr>
                <w:rFonts w:ascii="宋体" w:hAnsi="宋体"/>
                <w:b/>
                <w:sz w:val="21"/>
                <w:szCs w:val="21"/>
              </w:rPr>
            </w:pPr>
            <w:r>
              <w:rPr>
                <w:rFonts w:hint="eastAsia" w:ascii="宋体" w:hAnsi="宋体"/>
                <w:b/>
                <w:sz w:val="21"/>
                <w:szCs w:val="21"/>
              </w:rPr>
              <w:t>专业代码</w:t>
            </w:r>
          </w:p>
        </w:tc>
        <w:tc>
          <w:tcPr>
            <w:tcW w:w="1950" w:type="dxa"/>
          </w:tcPr>
          <w:p>
            <w:pPr>
              <w:spacing w:line="260" w:lineRule="exact"/>
              <w:rPr>
                <w:rFonts w:ascii="宋体" w:hAnsi="宋体"/>
                <w:b/>
                <w:sz w:val="21"/>
                <w:szCs w:val="21"/>
              </w:rPr>
            </w:pPr>
            <w:bookmarkStart w:id="22" w:name="专业代码"/>
            <w:r>
              <w:rPr>
                <w:rFonts w:hint="eastAsia" w:ascii="宋体" w:hAnsi="宋体"/>
                <w:b/>
                <w:sz w:val="21"/>
                <w:szCs w:val="21"/>
              </w:rPr>
              <w:t>Q:</w:t>
            </w:r>
            <w:r>
              <w:rPr>
                <w:rFonts w:ascii="宋体" w:hAnsi="宋体"/>
                <w:b/>
                <w:sz w:val="21"/>
                <w:szCs w:val="21"/>
              </w:rPr>
              <w:t>29.11.05;39.01.00;39.03.01</w:t>
            </w:r>
          </w:p>
          <w:p>
            <w:pPr>
              <w:spacing w:line="260" w:lineRule="exact"/>
              <w:rPr>
                <w:rFonts w:ascii="宋体" w:hAnsi="宋体"/>
                <w:b/>
                <w:sz w:val="21"/>
                <w:szCs w:val="21"/>
              </w:rPr>
            </w:pPr>
            <w:r>
              <w:rPr>
                <w:rFonts w:hint="eastAsia" w:ascii="宋体" w:hAnsi="宋体"/>
                <w:b/>
                <w:sz w:val="21"/>
                <w:szCs w:val="21"/>
              </w:rPr>
              <w:t>E:</w:t>
            </w:r>
            <w:r>
              <w:rPr>
                <w:rFonts w:ascii="宋体" w:hAnsi="宋体"/>
                <w:b/>
                <w:sz w:val="21"/>
                <w:szCs w:val="21"/>
              </w:rPr>
              <w:t>29.11.05;39.01.00;39.03.01</w:t>
            </w:r>
          </w:p>
          <w:p>
            <w:pPr>
              <w:spacing w:line="260" w:lineRule="exact"/>
              <w:rPr>
                <w:rFonts w:ascii="宋体" w:hAnsi="宋体"/>
                <w:b/>
                <w:sz w:val="21"/>
                <w:szCs w:val="21"/>
              </w:rPr>
            </w:pPr>
            <w:r>
              <w:rPr>
                <w:rFonts w:hint="eastAsia" w:ascii="宋体" w:hAnsi="宋体"/>
                <w:b/>
                <w:sz w:val="21"/>
                <w:szCs w:val="21"/>
              </w:rPr>
              <w:t>O:</w:t>
            </w:r>
            <w:r>
              <w:rPr>
                <w:rFonts w:ascii="宋体" w:hAnsi="宋体"/>
                <w:b/>
                <w:sz w:val="21"/>
                <w:szCs w:val="21"/>
              </w:rPr>
              <w:t>29.11.05;39.01.00;39.03.01</w:t>
            </w:r>
            <w:bookmarkEnd w:id="22"/>
          </w:p>
        </w:tc>
        <w:tc>
          <w:tcPr>
            <w:tcW w:w="1198" w:type="dxa"/>
            <w:vAlign w:val="center"/>
          </w:tcPr>
          <w:p>
            <w:pPr>
              <w:spacing w:line="260" w:lineRule="exact"/>
              <w:jc w:val="center"/>
              <w:rPr>
                <w:rFonts w:ascii="宋体" w:hAnsi="宋体"/>
                <w:b/>
                <w:sz w:val="21"/>
                <w:szCs w:val="21"/>
              </w:rPr>
            </w:pPr>
            <w:r>
              <w:rPr>
                <w:rFonts w:hint="eastAsia" w:ascii="宋体" w:hAnsi="宋体"/>
                <w:b/>
                <w:sz w:val="21"/>
                <w:szCs w:val="21"/>
              </w:rPr>
              <w:t>证书有</w:t>
            </w:r>
          </w:p>
          <w:p>
            <w:pPr>
              <w:spacing w:line="260" w:lineRule="exact"/>
              <w:jc w:val="center"/>
              <w:rPr>
                <w:rFonts w:ascii="宋体" w:hAnsi="宋体"/>
                <w:b/>
                <w:sz w:val="21"/>
                <w:szCs w:val="21"/>
              </w:rPr>
            </w:pPr>
            <w:r>
              <w:rPr>
                <w:rFonts w:hint="eastAsia" w:ascii="宋体" w:hAnsi="宋体"/>
                <w:b/>
                <w:sz w:val="21"/>
                <w:szCs w:val="21"/>
              </w:rPr>
              <w:t>效期</w:t>
            </w:r>
          </w:p>
        </w:tc>
        <w:tc>
          <w:tcPr>
            <w:tcW w:w="1618" w:type="dxa"/>
            <w:gridSpan w:val="2"/>
            <w:vAlign w:val="center"/>
          </w:tcPr>
          <w:p>
            <w:pPr>
              <w:spacing w:line="260" w:lineRule="exact"/>
              <w:jc w:val="center"/>
              <w:rPr>
                <w:rFonts w:ascii="宋体" w:hAnsi="宋体"/>
                <w:b/>
                <w:sz w:val="21"/>
                <w:szCs w:val="21"/>
              </w:rPr>
            </w:pPr>
            <w:r>
              <w:rPr>
                <w:rFonts w:hint="eastAsia" w:ascii="宋体" w:hAnsi="宋体"/>
                <w:b/>
                <w:sz w:val="21"/>
                <w:szCs w:val="21"/>
              </w:rPr>
              <w:t>2022.04.27</w:t>
            </w:r>
          </w:p>
        </w:tc>
        <w:tc>
          <w:tcPr>
            <w:tcW w:w="1672" w:type="dxa"/>
            <w:vAlign w:val="center"/>
          </w:tcPr>
          <w:p>
            <w:pPr>
              <w:spacing w:line="260" w:lineRule="exact"/>
              <w:jc w:val="center"/>
              <w:rPr>
                <w:rFonts w:ascii="宋体" w:hAnsi="宋体"/>
                <w:b/>
                <w:sz w:val="21"/>
                <w:szCs w:val="21"/>
              </w:rPr>
            </w:pPr>
            <w:r>
              <w:rPr>
                <w:rFonts w:hint="eastAsia" w:ascii="宋体" w:hAnsi="宋体"/>
                <w:b/>
                <w:sz w:val="21"/>
                <w:szCs w:val="21"/>
              </w:rPr>
              <w:t>上年度</w:t>
            </w:r>
          </w:p>
          <w:p>
            <w:pPr>
              <w:spacing w:line="260" w:lineRule="exact"/>
              <w:jc w:val="center"/>
              <w:rPr>
                <w:rFonts w:ascii="宋体" w:hAnsi="宋体"/>
                <w:b/>
                <w:sz w:val="21"/>
                <w:szCs w:val="21"/>
              </w:rPr>
            </w:pPr>
            <w:r>
              <w:rPr>
                <w:rFonts w:hint="eastAsia" w:ascii="宋体" w:hAnsi="宋体"/>
                <w:b/>
                <w:sz w:val="21"/>
                <w:szCs w:val="21"/>
              </w:rPr>
              <w:t>审核日期</w:t>
            </w:r>
          </w:p>
        </w:tc>
        <w:tc>
          <w:tcPr>
            <w:tcW w:w="1500" w:type="dxa"/>
            <w:vAlign w:val="center"/>
          </w:tcPr>
          <w:p>
            <w:pPr>
              <w:spacing w:line="260" w:lineRule="exact"/>
              <w:jc w:val="center"/>
              <w:rPr>
                <w:rFonts w:ascii="宋体"/>
                <w:b/>
                <w:sz w:val="21"/>
              </w:rPr>
            </w:pPr>
            <w:r>
              <w:rPr>
                <w:rFonts w:hint="eastAsia" w:ascii="宋体"/>
                <w:b/>
                <w:sz w:val="21"/>
              </w:rPr>
              <w:t>2020.06.5</w:t>
            </w:r>
          </w:p>
        </w:tc>
      </w:tr>
    </w:tbl>
    <w:p>
      <w:pPr>
        <w:tabs>
          <w:tab w:val="left" w:pos="645"/>
        </w:tabs>
        <w:spacing w:afterLines="50" w:line="360" w:lineRule="exact"/>
        <w:rPr>
          <w:b/>
          <w:spacing w:val="-6"/>
          <w:sz w:val="16"/>
          <w:szCs w:val="16"/>
        </w:rPr>
      </w:pPr>
      <w:r>
        <w:rPr>
          <w:rFonts w:hint="eastAsia"/>
          <w:b/>
          <w:sz w:val="26"/>
          <w:szCs w:val="26"/>
        </w:rPr>
        <w:t>五、审核活动安排综述</w:t>
      </w:r>
    </w:p>
    <w:p>
      <w:pPr>
        <w:spacing w:beforeLines="50"/>
        <w:ind w:left="-194" w:leftChars="-81" w:firstLine="211" w:firstLineChars="100"/>
        <w:rPr>
          <w:rFonts w:ascii="宋体" w:hAnsi="宋体"/>
          <w:b/>
          <w:sz w:val="21"/>
          <w:szCs w:val="21"/>
        </w:rPr>
      </w:pPr>
      <w:r>
        <w:rPr>
          <w:rFonts w:ascii="宋体" w:hAnsi="宋体"/>
          <w:b/>
          <w:sz w:val="21"/>
          <w:szCs w:val="21"/>
        </w:rPr>
        <w:t xml:space="preserve">1. </w:t>
      </w:r>
      <w:r>
        <w:rPr>
          <w:rFonts w:hint="eastAsia" w:ascii="宋体" w:hAnsi="宋体"/>
          <w:b/>
          <w:sz w:val="21"/>
          <w:szCs w:val="21"/>
        </w:rPr>
        <w:t>本次审核活动按相关审核计划执行（见附件</w:t>
      </w:r>
      <w:r>
        <w:rPr>
          <w:rFonts w:ascii="宋体" w:hAnsi="宋体"/>
          <w:b/>
          <w:sz w:val="21"/>
          <w:szCs w:val="21"/>
        </w:rPr>
        <w:t>1</w:t>
      </w:r>
      <w:r>
        <w:rPr>
          <w:rFonts w:hint="eastAsia" w:ascii="宋体" w:hAnsi="宋体"/>
          <w:b/>
          <w:sz w:val="21"/>
          <w:szCs w:val="21"/>
        </w:rPr>
        <w:t>）</w:t>
      </w:r>
    </w:p>
    <w:p>
      <w:pPr>
        <w:spacing w:beforeLines="50"/>
        <w:ind w:left="-194" w:leftChars="-81" w:firstLine="211" w:firstLineChars="100"/>
        <w:rPr>
          <w:rFonts w:ascii="宋体" w:hAnsi="宋体"/>
          <w:b/>
          <w:sz w:val="21"/>
          <w:szCs w:val="21"/>
        </w:rPr>
      </w:pPr>
      <w:r>
        <w:rPr>
          <w:rFonts w:ascii="宋体" w:hAnsi="宋体"/>
          <w:b/>
          <w:sz w:val="21"/>
          <w:szCs w:val="21"/>
        </w:rPr>
        <w:t xml:space="preserve">2. </w:t>
      </w:r>
      <w:r>
        <w:rPr>
          <w:rFonts w:hint="eastAsia" w:ascii="宋体" w:hAnsi="宋体"/>
          <w:b/>
          <w:sz w:val="21"/>
          <w:szCs w:val="21"/>
        </w:rPr>
        <w:t>已审核的分场所（分中心、分部或不在一起的部门）、临时</w:t>
      </w:r>
      <w:r>
        <w:rPr>
          <w:rFonts w:ascii="宋体" w:hAnsi="宋体"/>
          <w:b/>
          <w:sz w:val="21"/>
          <w:szCs w:val="21"/>
        </w:rPr>
        <w:t>/</w:t>
      </w:r>
      <w:r>
        <w:rPr>
          <w:rFonts w:hint="eastAsia" w:ascii="宋体" w:hAnsi="宋体"/>
          <w:b/>
          <w:sz w:val="21"/>
          <w:szCs w:val="21"/>
        </w:rPr>
        <w:t>流动场所信息</w:t>
      </w:r>
    </w:p>
    <w:p>
      <w:pPr>
        <w:spacing w:beforeLines="50"/>
        <w:ind w:left="-194" w:leftChars="-81" w:firstLine="211" w:firstLineChars="100"/>
        <w:rPr>
          <w:rFonts w:ascii="宋体" w:hAnsi="宋体"/>
          <w:b/>
          <w:sz w:val="21"/>
          <w:szCs w:val="21"/>
        </w:rPr>
      </w:pPr>
      <w:r>
        <w:rPr>
          <w:rFonts w:ascii="宋体" w:hAnsi="宋体"/>
          <w:b/>
          <w:sz w:val="21"/>
          <w:szCs w:val="21"/>
        </w:rPr>
        <w:t xml:space="preserve">3. </w:t>
      </w:r>
      <w:r>
        <w:rPr>
          <w:rFonts w:hint="eastAsia" w:ascii="宋体" w:hAnsi="宋体"/>
          <w:b/>
          <w:sz w:val="21"/>
          <w:szCs w:val="21"/>
        </w:rPr>
        <w:t>已审核具体的产品</w:t>
      </w:r>
      <w:r>
        <w:rPr>
          <w:rFonts w:ascii="宋体" w:hAnsi="宋体"/>
          <w:b/>
          <w:sz w:val="21"/>
          <w:szCs w:val="21"/>
        </w:rPr>
        <w:t>/</w:t>
      </w:r>
      <w:r>
        <w:rPr>
          <w:rFonts w:hint="eastAsia" w:ascii="宋体" w:hAnsi="宋体"/>
          <w:b/>
          <w:sz w:val="21"/>
          <w:szCs w:val="21"/>
        </w:rPr>
        <w:t>服务</w:t>
      </w:r>
      <w:r>
        <w:rPr>
          <w:rFonts w:ascii="宋体" w:hAnsi="宋体"/>
          <w:b/>
          <w:sz w:val="21"/>
          <w:szCs w:val="21"/>
        </w:rPr>
        <w:t>/</w:t>
      </w:r>
      <w:r>
        <w:rPr>
          <w:rFonts w:hint="eastAsia" w:ascii="宋体" w:hAnsi="宋体"/>
          <w:b/>
          <w:sz w:val="21"/>
          <w:szCs w:val="21"/>
        </w:rPr>
        <w:t>型号</w:t>
      </w:r>
      <w:r>
        <w:rPr>
          <w:rFonts w:ascii="宋体" w:hAnsi="宋体"/>
          <w:b/>
          <w:sz w:val="21"/>
          <w:szCs w:val="21"/>
        </w:rPr>
        <w:t>/</w:t>
      </w:r>
      <w:r>
        <w:rPr>
          <w:rFonts w:hint="eastAsia" w:ascii="宋体" w:hAnsi="宋体"/>
          <w:b/>
          <w:sz w:val="21"/>
          <w:szCs w:val="21"/>
        </w:rPr>
        <w:t>类型</w:t>
      </w:r>
      <w:r>
        <w:rPr>
          <w:rFonts w:ascii="宋体" w:hAnsi="宋体"/>
          <w:b/>
          <w:sz w:val="21"/>
          <w:szCs w:val="21"/>
        </w:rPr>
        <w:t>/</w:t>
      </w:r>
      <w:r>
        <w:rPr>
          <w:rFonts w:hint="eastAsia" w:ascii="宋体" w:hAnsi="宋体"/>
          <w:b/>
          <w:sz w:val="21"/>
          <w:szCs w:val="21"/>
        </w:rPr>
        <w:t>系列和过程（设计</w:t>
      </w:r>
      <w:r>
        <w:rPr>
          <w:rFonts w:ascii="宋体" w:hAnsi="宋体"/>
          <w:b/>
          <w:sz w:val="21"/>
          <w:szCs w:val="21"/>
        </w:rPr>
        <w:t>/</w:t>
      </w:r>
      <w:r>
        <w:rPr>
          <w:rFonts w:hint="eastAsia" w:ascii="宋体" w:hAnsi="宋体"/>
          <w:b/>
          <w:sz w:val="21"/>
          <w:szCs w:val="21"/>
        </w:rPr>
        <w:t>生产┄┄）是</w:t>
      </w:r>
    </w:p>
    <w:p>
      <w:pPr>
        <w:spacing w:line="360" w:lineRule="atLeast"/>
        <w:ind w:firstLine="211" w:firstLineChars="100"/>
        <w:rPr>
          <w:rFonts w:ascii="宋体" w:hAnsi="宋体"/>
          <w:b/>
          <w:sz w:val="21"/>
          <w:szCs w:val="21"/>
        </w:rPr>
      </w:pPr>
      <w:r>
        <w:rPr>
          <w:rFonts w:hint="eastAsia" w:ascii="宋体" w:hAnsi="宋体"/>
          <w:b/>
          <w:sz w:val="21"/>
          <w:szCs w:val="21"/>
        </w:rPr>
        <w:t>□本次审核新增加范围的产品</w:t>
      </w:r>
      <w:r>
        <w:rPr>
          <w:rFonts w:ascii="宋体" w:hAnsi="宋体"/>
          <w:b/>
          <w:sz w:val="21"/>
          <w:szCs w:val="21"/>
        </w:rPr>
        <w:t>/</w:t>
      </w:r>
      <w:r>
        <w:rPr>
          <w:rFonts w:hint="eastAsia" w:ascii="宋体" w:hAnsi="宋体"/>
          <w:b/>
          <w:sz w:val="21"/>
          <w:szCs w:val="21"/>
        </w:rPr>
        <w:t>服务抽查了</w:t>
      </w:r>
    </w:p>
    <w:p>
      <w:pPr>
        <w:spacing w:line="360" w:lineRule="atLeast"/>
        <w:rPr>
          <w:rFonts w:ascii="宋体" w:hAnsi="宋体"/>
          <w:b/>
          <w:sz w:val="21"/>
          <w:szCs w:val="21"/>
        </w:rPr>
      </w:pPr>
      <w:r>
        <w:rPr>
          <w:rFonts w:ascii="宋体" w:hAnsi="宋体"/>
          <w:b/>
          <w:sz w:val="21"/>
          <w:szCs w:val="21"/>
        </w:rPr>
        <w:t xml:space="preserve">4. </w:t>
      </w:r>
      <w:r>
        <w:rPr>
          <w:rFonts w:hint="eastAsia" w:ascii="宋体" w:hAnsi="宋体"/>
          <w:b/>
          <w:sz w:val="21"/>
          <w:szCs w:val="21"/>
        </w:rPr>
        <w:t>本次审核覆盖时间：从上次审核结束日的2020年6月5日至2021年4月28日</w:t>
      </w:r>
    </w:p>
    <w:p>
      <w:pPr>
        <w:spacing w:line="360" w:lineRule="auto"/>
        <w:rPr>
          <w:rFonts w:ascii="宋体" w:hAnsi="宋体"/>
          <w:b/>
          <w:sz w:val="21"/>
          <w:szCs w:val="21"/>
        </w:rPr>
      </w:pPr>
      <w:r>
        <w:rPr>
          <w:rFonts w:ascii="宋体" w:hAnsi="宋体"/>
          <w:b/>
          <w:sz w:val="21"/>
          <w:szCs w:val="21"/>
        </w:rPr>
        <w:t xml:space="preserve">5. </w:t>
      </w:r>
      <w:r>
        <w:rPr>
          <w:rFonts w:hint="eastAsia" w:ascii="宋体" w:hAnsi="宋体"/>
          <w:b/>
          <w:sz w:val="21"/>
          <w:szCs w:val="21"/>
        </w:rPr>
        <w:t>完成情况说明</w:t>
      </w:r>
      <w:r>
        <w:rPr>
          <w:rFonts w:ascii="宋体" w:hAnsi="宋体"/>
          <w:b/>
          <w:sz w:val="21"/>
          <w:szCs w:val="21"/>
        </w:rPr>
        <w:t>:</w:t>
      </w:r>
    </w:p>
    <w:p>
      <w:pPr>
        <w:spacing w:line="360" w:lineRule="auto"/>
        <w:ind w:left="-211" w:leftChars="-88" w:firstLine="470" w:firstLineChars="223"/>
        <w:rPr>
          <w:rFonts w:ascii="宋体" w:hAnsi="宋体"/>
          <w:b/>
          <w:sz w:val="21"/>
          <w:szCs w:val="21"/>
        </w:rPr>
      </w:pPr>
      <w:r>
        <w:rPr>
          <w:rFonts w:hint="eastAsia" w:ascii="宋体" w:hAnsi="宋体"/>
          <w:b/>
          <w:sz w:val="21"/>
          <w:szCs w:val="21"/>
        </w:rPr>
        <w:t>■已完成审核计划的全部工作</w:t>
      </w:r>
    </w:p>
    <w:p>
      <w:pPr>
        <w:spacing w:line="360" w:lineRule="auto"/>
        <w:ind w:left="-211" w:leftChars="-88" w:firstLine="470" w:firstLineChars="223"/>
        <w:rPr>
          <w:rFonts w:ascii="宋体" w:hAnsi="宋体"/>
          <w:b/>
          <w:sz w:val="21"/>
          <w:szCs w:val="21"/>
        </w:rPr>
      </w:pPr>
      <w:r>
        <w:rPr>
          <w:rFonts w:hint="eastAsia" w:ascii="宋体" w:hAnsi="宋体"/>
          <w:b/>
          <w:sz w:val="21"/>
          <w:szCs w:val="21"/>
        </w:rPr>
        <w:t>□计划有修改，但不会影响审核结论，修改的内容和原因是</w:t>
      </w:r>
    </w:p>
    <w:p>
      <w:pPr>
        <w:spacing w:line="360" w:lineRule="auto"/>
        <w:ind w:left="-211" w:leftChars="-88" w:firstLine="470" w:firstLineChars="223"/>
        <w:rPr>
          <w:rFonts w:ascii="宋体" w:hAnsi="宋体"/>
          <w:b/>
          <w:sz w:val="21"/>
          <w:szCs w:val="21"/>
        </w:rPr>
      </w:pPr>
      <w:r>
        <w:rPr>
          <w:rFonts w:hint="eastAsia" w:ascii="宋体" w:hAnsi="宋体"/>
          <w:b/>
          <w:sz w:val="21"/>
          <w:szCs w:val="21"/>
        </w:rPr>
        <w:t>□未完成计划，未完成的内容和原因是</w:t>
      </w:r>
      <w:r>
        <w:rPr>
          <w:rFonts w:ascii="宋体" w:hAnsi="宋体"/>
          <w:b/>
          <w:sz w:val="21"/>
          <w:szCs w:val="21"/>
        </w:rPr>
        <w:t>:</w:t>
      </w:r>
    </w:p>
    <w:p>
      <w:pPr>
        <w:tabs>
          <w:tab w:val="left" w:pos="645"/>
        </w:tabs>
        <w:spacing w:beforeLines="100" w:afterLines="50" w:line="360" w:lineRule="exact"/>
        <w:rPr>
          <w:b/>
          <w:sz w:val="26"/>
          <w:szCs w:val="26"/>
        </w:rPr>
      </w:pPr>
      <w:r>
        <w:rPr>
          <w:rFonts w:hint="eastAsia"/>
          <w:b/>
          <w:sz w:val="26"/>
          <w:szCs w:val="26"/>
        </w:rPr>
        <w:t>六、审核证据及审核发现综述、</w:t>
      </w:r>
    </w:p>
    <w:tbl>
      <w:tblPr>
        <w:tblStyle w:val="6"/>
        <w:tblpPr w:leftFromText="180" w:rightFromText="180" w:vertAnchor="text" w:horzAnchor="page" w:tblpX="992" w:tblpY="314"/>
        <w:tblOverlap w:val="never"/>
        <w:tblW w:w="99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7" w:hRule="atLeast"/>
        </w:trPr>
        <w:tc>
          <w:tcPr>
            <w:tcW w:w="720" w:type="dxa"/>
            <w:vMerge w:val="restart"/>
            <w:textDirection w:val="tbRlV"/>
            <w:vAlign w:val="center"/>
          </w:tcPr>
          <w:p>
            <w:pPr>
              <w:spacing w:line="240" w:lineRule="exact"/>
              <w:ind w:left="201" w:right="113" w:hanging="201" w:hangingChars="100"/>
              <w:jc w:val="center"/>
              <w:rPr>
                <w:rFonts w:ascii="宋体" w:hAnsi="宋体"/>
                <w:b/>
                <w:color w:val="000000" w:themeColor="text1"/>
                <w:sz w:val="20"/>
              </w:rPr>
            </w:pPr>
            <w:r>
              <w:rPr>
                <w:rFonts w:hint="eastAsia" w:ascii="宋体" w:hAnsi="宋体"/>
                <w:b/>
                <w:color w:val="000000" w:themeColor="text1"/>
                <w:sz w:val="20"/>
              </w:rPr>
              <w:t>(一)策划的充分与合理性</w:t>
            </w:r>
          </w:p>
        </w:tc>
        <w:tc>
          <w:tcPr>
            <w:tcW w:w="9198" w:type="dxa"/>
          </w:tcPr>
          <w:p>
            <w:pPr>
              <w:spacing w:line="240" w:lineRule="exact"/>
              <w:rPr>
                <w:b/>
                <w:color w:val="000000" w:themeColor="text1"/>
                <w:sz w:val="20"/>
              </w:rPr>
            </w:pPr>
            <w:r>
              <w:rPr>
                <w:b/>
                <w:color w:val="000000" w:themeColor="text1"/>
                <w:sz w:val="20"/>
              </w:rPr>
              <w:t>1、</w:t>
            </w:r>
            <w:r>
              <w:rPr>
                <w:rFonts w:hint="eastAsia"/>
                <w:b/>
                <w:color w:val="000000" w:themeColor="text1"/>
                <w:sz w:val="20"/>
              </w:rPr>
              <w:t>组织及其环境的识别情况</w:t>
            </w:r>
          </w:p>
          <w:p>
            <w:pPr>
              <w:spacing w:line="240" w:lineRule="exact"/>
              <w:ind w:firstLine="402" w:firstLineChars="200"/>
              <w:rPr>
                <w:b/>
                <w:color w:val="000000" w:themeColor="text1"/>
                <w:sz w:val="20"/>
              </w:rPr>
            </w:pPr>
            <w:r>
              <w:rPr>
                <w:rFonts w:hint="eastAsia"/>
                <w:b/>
                <w:color w:val="000000" w:themeColor="text1"/>
                <w:sz w:val="20"/>
              </w:rPr>
              <w:t>组织对内外部因素、相关方需求和期望进行了充分的识别，策划和实施有效。组织确定了体系的边界，基本适用。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rPr>
            </w:pPr>
          </w:p>
        </w:tc>
        <w:tc>
          <w:tcPr>
            <w:tcW w:w="9198" w:type="dxa"/>
          </w:tcPr>
          <w:p>
            <w:pPr>
              <w:spacing w:line="240" w:lineRule="exact"/>
              <w:rPr>
                <w:b/>
                <w:color w:val="000000" w:themeColor="text1"/>
                <w:sz w:val="20"/>
              </w:rPr>
            </w:pPr>
            <w:r>
              <w:rPr>
                <w:b/>
                <w:color w:val="000000" w:themeColor="text1"/>
                <w:sz w:val="20"/>
              </w:rPr>
              <w:t>2、</w:t>
            </w:r>
            <w:r>
              <w:rPr>
                <w:rFonts w:hint="eastAsia"/>
                <w:b/>
                <w:color w:val="000000" w:themeColor="text1"/>
                <w:sz w:val="20"/>
              </w:rPr>
              <w:t>相关方需求和期望识别情况</w:t>
            </w:r>
          </w:p>
          <w:p>
            <w:pPr>
              <w:spacing w:line="240" w:lineRule="exact"/>
              <w:ind w:firstLine="402" w:firstLineChars="200"/>
              <w:rPr>
                <w:b/>
                <w:color w:val="000000" w:themeColor="text1"/>
                <w:sz w:val="20"/>
              </w:rPr>
            </w:pPr>
            <w:r>
              <w:rPr>
                <w:rFonts w:hint="eastAsia"/>
                <w:b/>
                <w:color w:val="000000" w:themeColor="text1"/>
                <w:sz w:val="20"/>
              </w:rPr>
              <w:t>公司确定的相关方有员工、股东、银行、主管部门、供应商、客户等。理解员工诉求的形式为面谈、茶话会等；理解银行等相关方的形式主要为电话沟通、上门拜访等；员工关注的主要问题有工资、待遇、晋升机制、福利等，供应商关注的主要问题是回款时间等。顾客等相关方需求和期望主要为产品质量符合要求、及时交货、价格合理、服务及时等。对相关方的要求的监视和评审的方法多样，通过QQ和微信等现代通讯手段是常用的便捷而又高效主要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19" w:hRule="atLeast"/>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rPr>
            </w:pPr>
          </w:p>
        </w:tc>
        <w:tc>
          <w:tcPr>
            <w:tcW w:w="9198" w:type="dxa"/>
          </w:tcPr>
          <w:p>
            <w:pPr>
              <w:spacing w:line="280" w:lineRule="exact"/>
              <w:rPr>
                <w:rFonts w:ascii="宋体" w:hAnsi="宋体"/>
                <w:b/>
                <w:color w:val="000000" w:themeColor="text1"/>
                <w:sz w:val="20"/>
              </w:rPr>
            </w:pPr>
            <w:r>
              <w:rPr>
                <w:b/>
                <w:color w:val="000000" w:themeColor="text1"/>
                <w:sz w:val="20"/>
              </w:rPr>
              <w:t>3.</w:t>
            </w:r>
            <w:r>
              <w:rPr>
                <w:rFonts w:hint="eastAsia" w:ascii="宋体" w:hAnsi="宋体"/>
                <w:b/>
                <w:color w:val="000000" w:themeColor="text1"/>
                <w:spacing w:val="-10"/>
                <w:sz w:val="20"/>
              </w:rPr>
              <w:t>■</w:t>
            </w:r>
            <w:r>
              <w:rPr>
                <w:rFonts w:hint="eastAsia" w:ascii="宋体" w:hAnsi="宋体"/>
                <w:b/>
                <w:color w:val="000000" w:themeColor="text1"/>
                <w:sz w:val="20"/>
              </w:rPr>
              <w:t>质量/</w:t>
            </w:r>
            <w:r>
              <w:rPr>
                <w:rFonts w:hint="eastAsia" w:ascii="宋体" w:hAnsi="宋体"/>
                <w:b/>
                <w:color w:val="000000" w:themeColor="text1"/>
                <w:spacing w:val="-10"/>
                <w:sz w:val="20"/>
              </w:rPr>
              <w:t>■</w:t>
            </w:r>
            <w:r>
              <w:rPr>
                <w:rFonts w:hint="eastAsia" w:ascii="宋体" w:hAnsi="宋体"/>
                <w:b/>
                <w:color w:val="000000" w:themeColor="text1"/>
                <w:sz w:val="20"/>
              </w:rPr>
              <w:t>环境/</w:t>
            </w:r>
            <w:r>
              <w:rPr>
                <w:rFonts w:hint="eastAsia" w:ascii="宋体" w:hAnsi="宋体"/>
                <w:b/>
                <w:color w:val="000000" w:themeColor="text1"/>
                <w:spacing w:val="-10"/>
                <w:sz w:val="20"/>
              </w:rPr>
              <w:t>■</w:t>
            </w:r>
            <w:r>
              <w:rPr>
                <w:rFonts w:hint="eastAsia" w:ascii="宋体" w:hAnsi="宋体"/>
                <w:b/>
                <w:color w:val="000000" w:themeColor="text1"/>
                <w:sz w:val="20"/>
              </w:rPr>
              <w:t>职业健康安全方针（组织</w:t>
            </w:r>
            <w:r>
              <w:rPr>
                <w:rFonts w:hint="eastAsia"/>
                <w:b/>
                <w:color w:val="000000" w:themeColor="text1"/>
                <w:sz w:val="20"/>
              </w:rPr>
              <w:t>方针</w:t>
            </w:r>
            <w:r>
              <w:rPr>
                <w:rFonts w:hint="eastAsia" w:ascii="宋体" w:hAnsi="宋体"/>
                <w:b/>
                <w:color w:val="000000" w:themeColor="text1"/>
                <w:sz w:val="20"/>
              </w:rPr>
              <w:t>的适宜性/持续适宜性、方针的传达及职工的理解等）</w:t>
            </w:r>
          </w:p>
          <w:p>
            <w:pPr>
              <w:spacing w:line="240" w:lineRule="exact"/>
              <w:ind w:firstLine="402" w:firstLineChars="200"/>
              <w:rPr>
                <w:b/>
                <w:color w:val="000000" w:themeColor="text1"/>
                <w:sz w:val="20"/>
              </w:rPr>
            </w:pPr>
            <w:r>
              <w:rPr>
                <w:rFonts w:hint="eastAsia"/>
                <w:b/>
                <w:color w:val="000000" w:themeColor="text1"/>
                <w:sz w:val="20"/>
              </w:rPr>
              <w:t>最高管理者组织制定了方针：现行的管理方针在管理手册有专门的释议，具备适宜性。通过会议、张贴等方式进行传达宣贯，管理绩效表明其方针能够通过管理体系加以有效实施、实现及动态管理，实际未发生变更。</w:t>
            </w:r>
          </w:p>
          <w:p>
            <w:pPr>
              <w:pStyle w:val="2"/>
              <w:spacing w:line="400" w:lineRule="exact"/>
              <w:rPr>
                <w:rFonts w:hint="default" w:ascii="Times New Roman" w:hAnsi="Times New Roman"/>
                <w:b/>
                <w:color w:val="000000" w:themeColor="text1"/>
                <w:sz w:val="20"/>
              </w:rPr>
            </w:pPr>
            <w:r>
              <w:rPr>
                <w:rFonts w:ascii="Times New Roman" w:hAnsi="Times New Roman"/>
                <w:b/>
                <w:color w:val="000000" w:themeColor="text1"/>
                <w:sz w:val="20"/>
              </w:rPr>
              <w:t>质量、环境、职业健康安全方针：</w:t>
            </w:r>
          </w:p>
          <w:p>
            <w:pPr>
              <w:jc w:val="left"/>
              <w:rPr>
                <w:b/>
                <w:color w:val="000000" w:themeColor="text1"/>
              </w:rPr>
            </w:pPr>
            <w:r>
              <w:rPr>
                <w:rFonts w:hint="eastAsia"/>
                <w:b/>
                <w:color w:val="000000" w:themeColor="text1"/>
                <w:sz w:val="20"/>
              </w:rPr>
              <w:t>“以稳定品质、完善服务、持续改进、满足顾客需求；以安全生产、保护环境、守法诚信、体现社会责任。”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6" w:hRule="atLeast"/>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rPr>
            </w:pPr>
          </w:p>
        </w:tc>
        <w:tc>
          <w:tcPr>
            <w:tcW w:w="9198" w:type="dxa"/>
          </w:tcPr>
          <w:p>
            <w:pPr>
              <w:spacing w:line="240" w:lineRule="exact"/>
              <w:jc w:val="left"/>
              <w:rPr>
                <w:b/>
                <w:color w:val="000000" w:themeColor="text1"/>
                <w:sz w:val="20"/>
              </w:rPr>
            </w:pPr>
            <w:r>
              <w:rPr>
                <w:rFonts w:hint="eastAsia"/>
                <w:b/>
                <w:color w:val="000000" w:themeColor="text1"/>
                <w:sz w:val="20"/>
              </w:rPr>
              <w:t>4、风险识别与控制策划（QES）</w:t>
            </w:r>
          </w:p>
          <w:p>
            <w:pPr>
              <w:spacing w:line="240" w:lineRule="exact"/>
              <w:ind w:firstLine="402" w:firstLineChars="200"/>
              <w:jc w:val="left"/>
              <w:rPr>
                <w:b/>
                <w:color w:val="000000" w:themeColor="text1"/>
                <w:sz w:val="20"/>
              </w:rPr>
            </w:pPr>
            <w:r>
              <w:rPr>
                <w:rFonts w:hint="eastAsia"/>
                <w:b/>
                <w:color w:val="000000" w:themeColor="text1"/>
                <w:sz w:val="20"/>
              </w:rPr>
              <w:t>制定了《风险和机遇的应对控制程序》，明确风险和机遇事件的识别方法/途径、风险和机遇事件的评估方式、制定主要风险和机遇事件的应对措施的要求、评价这些措施有效性的方法。</w:t>
            </w:r>
          </w:p>
          <w:p>
            <w:pPr>
              <w:spacing w:line="240" w:lineRule="exact"/>
              <w:ind w:firstLine="402" w:firstLineChars="200"/>
              <w:jc w:val="left"/>
              <w:rPr>
                <w:b/>
                <w:color w:val="000000" w:themeColor="text1"/>
                <w:sz w:val="20"/>
              </w:rPr>
            </w:pPr>
            <w:r>
              <w:rPr>
                <w:rFonts w:hint="eastAsia"/>
                <w:b/>
                <w:color w:val="000000" w:themeColor="text1"/>
                <w:sz w:val="20"/>
              </w:rPr>
              <w:t>提供了“风险和机遇评估表”，将需要应对的风险和机遇进行风险分析确定风险级别（一般风险、高风险），在质量管理体系所确定的过程（客户开发、供应商的要求等）中，整合制定针对性管理措施（如程序控制等）。</w:t>
            </w:r>
          </w:p>
          <w:p>
            <w:pPr>
              <w:spacing w:line="240" w:lineRule="exact"/>
              <w:ind w:firstLine="402" w:firstLineChars="200"/>
              <w:jc w:val="left"/>
              <w:rPr>
                <w:b/>
                <w:color w:val="000000" w:themeColor="text1"/>
                <w:sz w:val="20"/>
              </w:rPr>
            </w:pPr>
            <w:r>
              <w:rPr>
                <w:rFonts w:hint="eastAsia"/>
                <w:b/>
                <w:color w:val="000000" w:themeColor="text1"/>
                <w:sz w:val="20"/>
              </w:rPr>
              <w:t>提供了“经营分析及对策报告”，已认真交流风险如战略失误及人力资源成本上升、竞争不断加剧等，主要措施确定战略更加科学、通过提高管理水平消化人力资源成本上升；通过差异化策略提高竞争力。效果待观察。</w:t>
            </w:r>
          </w:p>
          <w:p>
            <w:pPr>
              <w:spacing w:line="240" w:lineRule="exact"/>
              <w:ind w:firstLine="402" w:firstLineChars="200"/>
              <w:rPr>
                <w:b/>
                <w:color w:val="000000" w:themeColor="text1"/>
              </w:rPr>
            </w:pPr>
            <w:r>
              <w:rPr>
                <w:rFonts w:hint="eastAsia"/>
                <w:b/>
                <w:color w:val="000000" w:themeColor="text1"/>
                <w:sz w:val="20"/>
              </w:rPr>
              <w:t>机遇主要是现在社会需求不断增多。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 w:val="20"/>
              </w:rPr>
            </w:pPr>
            <w:r>
              <w:rPr>
                <w:rFonts w:hint="eastAsia"/>
                <w:b/>
                <w:color w:val="000000" w:themeColor="text1"/>
                <w:sz w:val="20"/>
              </w:rPr>
              <w:t>5.</w:t>
            </w:r>
            <w:r>
              <w:rPr>
                <w:b/>
                <w:color w:val="000000" w:themeColor="text1"/>
                <w:sz w:val="20"/>
              </w:rPr>
              <w:t>QMS</w:t>
            </w:r>
            <w:r>
              <w:rPr>
                <w:rFonts w:hint="eastAsia" w:ascii="宋体" w:hAnsi="宋体"/>
                <w:b/>
                <w:color w:val="000000" w:themeColor="text1"/>
                <w:sz w:val="20"/>
              </w:rPr>
              <w:t>过程</w:t>
            </w:r>
          </w:p>
          <w:p>
            <w:pPr>
              <w:tabs>
                <w:tab w:val="left" w:pos="540"/>
              </w:tabs>
              <w:spacing w:line="300" w:lineRule="exact"/>
              <w:ind w:left="201" w:hanging="201" w:hangingChars="100"/>
              <w:rPr>
                <w:rFonts w:ascii="宋体" w:hAnsi="宋体"/>
                <w:b/>
                <w:color w:val="000000" w:themeColor="text1"/>
                <w:sz w:val="20"/>
                <w:u w:val="single"/>
              </w:rPr>
            </w:pPr>
            <w:r>
              <w:rPr>
                <w:rFonts w:hint="eastAsia" w:ascii="宋体" w:hAnsi="宋体"/>
                <w:b/>
                <w:color w:val="000000" w:themeColor="text1"/>
                <w:sz w:val="20"/>
              </w:rPr>
              <w:t>质量管理体系过程有：人力资源、基础设施、文件、机构、职责、产品和服务的要求、外部提供的产品和服务、产品放行、不合格输出控制、绩效评价、改进等</w:t>
            </w:r>
          </w:p>
          <w:p>
            <w:pPr>
              <w:tabs>
                <w:tab w:val="left" w:pos="540"/>
              </w:tabs>
              <w:spacing w:line="300" w:lineRule="exact"/>
              <w:ind w:left="201" w:hanging="201" w:hangingChars="100"/>
              <w:rPr>
                <w:rFonts w:ascii="宋体" w:hAnsi="宋体"/>
                <w:b/>
                <w:color w:val="000000" w:themeColor="text1"/>
                <w:sz w:val="20"/>
                <w:u w:val="single"/>
              </w:rPr>
            </w:pPr>
            <w:r>
              <w:rPr>
                <w:rFonts w:hint="eastAsia" w:ascii="宋体" w:hAnsi="宋体"/>
                <w:b/>
                <w:color w:val="000000" w:themeColor="text1"/>
                <w:sz w:val="20"/>
              </w:rPr>
              <w:t>其中关键过程有</w:t>
            </w:r>
            <w:r>
              <w:rPr>
                <w:rFonts w:hint="eastAsia" w:ascii="宋体" w:hAnsi="宋体"/>
                <w:b/>
                <w:color w:val="000000" w:themeColor="text1"/>
                <w:sz w:val="20"/>
                <w:u w:val="single"/>
              </w:rPr>
              <w:t xml:space="preserve">     </w:t>
            </w:r>
          </w:p>
          <w:p>
            <w:pPr>
              <w:tabs>
                <w:tab w:val="left" w:pos="540"/>
              </w:tabs>
              <w:spacing w:line="300" w:lineRule="exact"/>
              <w:ind w:left="201" w:hanging="201" w:hangingChars="100"/>
              <w:rPr>
                <w:rFonts w:ascii="宋体" w:hAnsi="宋体"/>
                <w:b/>
                <w:color w:val="000000" w:themeColor="text1"/>
                <w:sz w:val="20"/>
                <w:u w:val="single"/>
              </w:rPr>
            </w:pPr>
            <w:r>
              <w:rPr>
                <w:rFonts w:hint="eastAsia" w:ascii="宋体" w:hAnsi="宋体"/>
                <w:b/>
                <w:color w:val="000000" w:themeColor="text1"/>
                <w:sz w:val="20"/>
              </w:rPr>
              <w:t xml:space="preserve">需要确认过程  </w:t>
            </w:r>
            <w:r>
              <w:rPr>
                <w:rFonts w:hint="eastAsia" w:ascii="宋体" w:hAnsi="宋体"/>
                <w:b/>
                <w:color w:val="000000" w:themeColor="text1"/>
                <w:sz w:val="20"/>
                <w:u w:val="single"/>
              </w:rPr>
              <w:t xml:space="preserve">  销售和服务过程 </w:t>
            </w:r>
          </w:p>
          <w:p>
            <w:pPr>
              <w:tabs>
                <w:tab w:val="left" w:pos="540"/>
              </w:tabs>
              <w:spacing w:line="300" w:lineRule="exact"/>
              <w:ind w:left="201" w:hanging="201" w:hangingChars="100"/>
              <w:rPr>
                <w:rFonts w:ascii="宋体" w:hAnsi="宋体"/>
                <w:b/>
                <w:color w:val="000000" w:themeColor="text1"/>
                <w:sz w:val="20"/>
                <w:u w:val="single"/>
              </w:rPr>
            </w:pPr>
            <w:r>
              <w:rPr>
                <w:rFonts w:hint="eastAsia" w:ascii="宋体" w:hAnsi="宋体"/>
                <w:b/>
                <w:color w:val="000000" w:themeColor="text1"/>
                <w:sz w:val="20"/>
              </w:rPr>
              <w:t xml:space="preserve">外包过程 </w:t>
            </w:r>
            <w:r>
              <w:rPr>
                <w:rFonts w:hint="eastAsia" w:ascii="宋体" w:hAnsi="宋体"/>
                <w:b/>
                <w:color w:val="000000" w:themeColor="text1"/>
                <w:sz w:val="20"/>
                <w:u w:val="single"/>
              </w:rPr>
              <w:t xml:space="preserve"> 无   </w:t>
            </w:r>
          </w:p>
          <w:p>
            <w:pPr>
              <w:tabs>
                <w:tab w:val="left" w:pos="540"/>
              </w:tabs>
              <w:spacing w:line="300" w:lineRule="exact"/>
              <w:ind w:left="201" w:hanging="201" w:hangingChars="100"/>
              <w:rPr>
                <w:rFonts w:ascii="宋体" w:hAnsi="宋体"/>
                <w:b/>
                <w:color w:val="000000" w:themeColor="text1"/>
                <w:sz w:val="20"/>
              </w:rPr>
            </w:pPr>
            <w:r>
              <w:rPr>
                <w:rFonts w:ascii="宋体" w:hAnsi="宋体"/>
                <w:b/>
                <w:color w:val="000000" w:themeColor="text1"/>
                <w:sz w:val="20"/>
              </w:rPr>
              <w:pict>
                <v:shape id="_x0000_s1031" o:spid="_x0000_s1031" o:spt="32" type="#_x0000_t32" style="position:absolute;left:0pt;margin-left:55.15pt;margin-top:12.75pt;height:0pt;width:42pt;z-index:251663360;mso-width-relative:page;mso-height-relative:page;" o:connectortype="straight" filled="f" coordsize="21600,21600">
                  <v:path arrowok="t"/>
                  <v:fill on="f" focussize="0,0"/>
                  <v:stroke/>
                  <v:imagedata o:title=""/>
                  <o:lock v:ext="edit"/>
                </v:shape>
              </w:pict>
            </w:r>
            <w:r>
              <w:rPr>
                <w:rFonts w:hint="eastAsia" w:ascii="宋体" w:hAnsi="宋体"/>
                <w:b/>
                <w:color w:val="000000" w:themeColor="text1"/>
                <w:sz w:val="20"/>
              </w:rPr>
              <w:t xml:space="preserve">不适用条款是 </w:t>
            </w:r>
            <w:r>
              <w:rPr>
                <w:rFonts w:hint="eastAsia" w:ascii="宋体" w:hAnsi="宋体"/>
                <w:b/>
                <w:color w:val="000000" w:themeColor="text1"/>
                <w:sz w:val="20"/>
                <w:u w:val="single"/>
              </w:rPr>
              <w:t xml:space="preserve"> 8.3 条款  </w:t>
            </w:r>
            <w:r>
              <w:rPr>
                <w:rFonts w:ascii="宋体" w:hAnsi="宋体"/>
                <w:b/>
                <w:color w:val="FF0000"/>
                <w:sz w:val="20"/>
              </w:rPr>
              <w:t xml:space="preserve">   </w:t>
            </w:r>
            <w:r>
              <w:rPr>
                <w:rFonts w:hint="eastAsia" w:ascii="宋体" w:hAnsi="宋体"/>
                <w:b/>
                <w:color w:val="000000" w:themeColor="text1"/>
                <w:sz w:val="20"/>
              </w:rPr>
              <w:t>不适用理由：公司的产品均是销售给特定顾客，现阶段没有新产品，根据公司销售服务特点，公司不提供设计新销售服务的要求。本公司所销售的产品按客户要求进行，整个经营过程不涉及设计开发的内容。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8" w:hRule="atLeast"/>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rPr>
            </w:pPr>
            <w:r>
              <w:rPr>
                <w:rFonts w:hint="eastAsia"/>
                <w:b/>
                <w:color w:val="000000" w:themeColor="text1"/>
                <w:sz w:val="20"/>
              </w:rPr>
              <w:t xml:space="preserve">6. </w:t>
            </w:r>
            <w:r>
              <w:rPr>
                <w:b/>
                <w:color w:val="000000" w:themeColor="text1"/>
                <w:spacing w:val="-12"/>
                <w:sz w:val="20"/>
              </w:rPr>
              <w:t>EMS</w:t>
            </w:r>
            <w:r>
              <w:rPr>
                <w:rFonts w:hint="eastAsia" w:ascii="宋体" w:hAnsi="宋体"/>
                <w:b/>
                <w:color w:val="000000" w:themeColor="text1"/>
                <w:spacing w:val="-12"/>
                <w:sz w:val="20"/>
              </w:rPr>
              <w:t>环境因素/</w:t>
            </w:r>
            <w:r>
              <w:rPr>
                <w:rFonts w:ascii="宋体" w:hAnsi="宋体"/>
                <w:b/>
                <w:color w:val="000000" w:themeColor="text1"/>
                <w:spacing w:val="-12"/>
                <w:sz w:val="20"/>
              </w:rPr>
              <w:t xml:space="preserve"> </w:t>
            </w:r>
          </w:p>
          <w:p>
            <w:pPr>
              <w:spacing w:line="300" w:lineRule="exact"/>
              <w:rPr>
                <w:rFonts w:ascii="宋体" w:hAnsi="宋体"/>
                <w:b/>
                <w:color w:val="000000" w:themeColor="text1"/>
                <w:spacing w:val="-8"/>
                <w:sz w:val="20"/>
              </w:rPr>
            </w:pPr>
            <w:r>
              <w:rPr>
                <w:rFonts w:hint="eastAsia" w:ascii="宋体" w:hAnsi="宋体"/>
                <w:b/>
                <w:color w:val="000000" w:themeColor="text1"/>
                <w:sz w:val="20"/>
              </w:rPr>
              <w:t>（</w:t>
            </w:r>
            <w:r>
              <w:rPr>
                <w:rFonts w:hint="eastAsia" w:ascii="宋体" w:hAnsi="宋体"/>
                <w:b/>
                <w:color w:val="000000" w:themeColor="text1"/>
                <w:spacing w:val="-8"/>
                <w:sz w:val="20"/>
              </w:rPr>
              <w:t>环境因素</w:t>
            </w:r>
            <w:r>
              <w:rPr>
                <w:rFonts w:hint="eastAsia" w:ascii="宋体" w:hAnsi="宋体"/>
                <w:b/>
                <w:color w:val="000000" w:themeColor="text1"/>
                <w:sz w:val="20"/>
              </w:rPr>
              <w:t>辨识是否充分、重要环境因素评价合理性，</w:t>
            </w:r>
            <w:r>
              <w:rPr>
                <w:rFonts w:hint="eastAsia" w:ascii="宋体" w:hAnsi="宋体"/>
                <w:b/>
                <w:color w:val="000000" w:themeColor="text1"/>
                <w:spacing w:val="-8"/>
                <w:sz w:val="20"/>
              </w:rPr>
              <w:t>以及环境因素动态变更的及时性等）</w:t>
            </w:r>
          </w:p>
          <w:p>
            <w:pPr>
              <w:rPr>
                <w:sz w:val="20"/>
              </w:rPr>
            </w:pPr>
            <w:r>
              <w:rPr>
                <w:rFonts w:hint="eastAsia"/>
                <w:b/>
                <w:color w:val="000000" w:themeColor="text1"/>
                <w:sz w:val="20"/>
              </w:rPr>
              <w:t xml:space="preserve"> </w:t>
            </w:r>
            <w:r>
              <w:rPr>
                <w:b/>
                <w:color w:val="000000" w:themeColor="text1"/>
                <w:sz w:val="20"/>
              </w:rPr>
              <w:t xml:space="preserve">   </w:t>
            </w:r>
            <w:r>
              <w:rPr>
                <w:rFonts w:hint="eastAsia"/>
                <w:b/>
                <w:color w:val="000000" w:themeColor="text1"/>
                <w:sz w:val="20"/>
              </w:rPr>
              <w:t>根据公司经营性质，识别了各部门和场所的环境因素，并对环境因素进行了评价，评价出了重要环境因素（火灾、固体废弃物排放)，识别基本齐全，评价合理。基本了解评价动态变更的及时性。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8" w:hRule="atLeast"/>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rPr>
            </w:pPr>
            <w:r>
              <w:rPr>
                <w:rFonts w:hint="eastAsia"/>
                <w:b/>
                <w:color w:val="000000" w:themeColor="text1"/>
                <w:spacing w:val="-10"/>
                <w:sz w:val="20"/>
              </w:rPr>
              <w:t xml:space="preserve">7. </w:t>
            </w:r>
            <w:r>
              <w:rPr>
                <w:b/>
                <w:color w:val="000000" w:themeColor="text1"/>
                <w:spacing w:val="-12"/>
                <w:sz w:val="20"/>
              </w:rPr>
              <w:t>OHSMS</w:t>
            </w:r>
            <w:r>
              <w:rPr>
                <w:rFonts w:hint="eastAsia" w:ascii="宋体" w:hAnsi="宋体"/>
                <w:b/>
                <w:color w:val="000000" w:themeColor="text1"/>
                <w:spacing w:val="-12"/>
                <w:sz w:val="20"/>
              </w:rPr>
              <w:t>职业健康安全危险源</w:t>
            </w:r>
          </w:p>
          <w:p>
            <w:pPr>
              <w:spacing w:line="300" w:lineRule="exact"/>
              <w:rPr>
                <w:rFonts w:ascii="宋体" w:hAnsi="宋体"/>
                <w:b/>
                <w:color w:val="000000" w:themeColor="text1"/>
                <w:spacing w:val="-8"/>
                <w:sz w:val="20"/>
              </w:rPr>
            </w:pPr>
            <w:r>
              <w:rPr>
                <w:rFonts w:hint="eastAsia" w:ascii="宋体" w:hAnsi="宋体"/>
                <w:b/>
                <w:color w:val="000000" w:themeColor="text1"/>
                <w:sz w:val="20"/>
              </w:rPr>
              <w:t>（</w:t>
            </w:r>
            <w:r>
              <w:rPr>
                <w:rFonts w:hint="eastAsia" w:ascii="宋体" w:hAnsi="宋体"/>
                <w:b/>
                <w:color w:val="000000" w:themeColor="text1"/>
                <w:spacing w:val="-8"/>
                <w:sz w:val="20"/>
              </w:rPr>
              <w:t>职业健康安全危险源</w:t>
            </w:r>
            <w:r>
              <w:rPr>
                <w:rFonts w:hint="eastAsia" w:ascii="宋体" w:hAnsi="宋体"/>
                <w:b/>
                <w:color w:val="000000" w:themeColor="text1"/>
                <w:sz w:val="20"/>
              </w:rPr>
              <w:t>辨识是否充分、风险评价合理性，</w:t>
            </w:r>
            <w:r>
              <w:rPr>
                <w:rFonts w:hint="eastAsia" w:ascii="宋体" w:hAnsi="宋体"/>
                <w:b/>
                <w:color w:val="000000" w:themeColor="text1"/>
                <w:spacing w:val="-8"/>
                <w:sz w:val="20"/>
              </w:rPr>
              <w:t>以及风险评价动态变更的及时性等）</w:t>
            </w:r>
          </w:p>
          <w:p>
            <w:pPr>
              <w:spacing w:line="300" w:lineRule="exact"/>
              <w:rPr>
                <w:b/>
                <w:color w:val="000000" w:themeColor="text1"/>
                <w:sz w:val="20"/>
              </w:rPr>
            </w:pPr>
            <w:r>
              <w:rPr>
                <w:rFonts w:hint="eastAsia"/>
                <w:b/>
                <w:color w:val="000000" w:themeColor="text1"/>
                <w:sz w:val="20"/>
              </w:rPr>
              <w:t xml:space="preserve"> </w:t>
            </w:r>
            <w:r>
              <w:rPr>
                <w:b/>
                <w:color w:val="000000" w:themeColor="text1"/>
                <w:sz w:val="20"/>
              </w:rPr>
              <w:t xml:space="preserve">    </w:t>
            </w:r>
            <w:r>
              <w:rPr>
                <w:rFonts w:hint="eastAsia"/>
                <w:b/>
                <w:color w:val="000000" w:themeColor="text1"/>
                <w:sz w:val="20"/>
              </w:rPr>
              <w:t>根据组织经营性质，识别了各部门和场所的危险源，并对危险源进行了评价，评价出不可接受风险（</w:t>
            </w:r>
            <w:r>
              <w:rPr>
                <w:rFonts w:hint="eastAsia"/>
                <w:b/>
                <w:sz w:val="20"/>
                <w:szCs w:val="22"/>
              </w:rPr>
              <w:t>火灾、触电、中暑</w:t>
            </w:r>
            <w:r>
              <w:rPr>
                <w:rFonts w:hint="eastAsia"/>
                <w:b/>
                <w:color w:val="000000" w:themeColor="text1"/>
                <w:sz w:val="20"/>
              </w:rPr>
              <w:t>），识别基本齐全，评价合理。基本了解评价动态变更的及时性。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pacing w:val="-4"/>
                <w:szCs w:val="21"/>
              </w:rPr>
            </w:pPr>
            <w:r>
              <w:rPr>
                <w:b/>
                <w:color w:val="000000" w:themeColor="text1"/>
                <w:szCs w:val="21"/>
              </w:rPr>
              <w:t>8</w:t>
            </w:r>
            <w:r>
              <w:rPr>
                <w:rFonts w:hint="eastAsia"/>
                <w:b/>
                <w:color w:val="000000" w:themeColor="text1"/>
                <w:szCs w:val="21"/>
              </w:rPr>
              <w:t xml:space="preserve">. </w:t>
            </w:r>
            <w:r>
              <w:rPr>
                <w:rFonts w:hint="eastAsia" w:ascii="宋体" w:hAnsi="宋体"/>
                <w:b/>
                <w:color w:val="000000" w:themeColor="text1"/>
                <w:spacing w:val="-4"/>
                <w:szCs w:val="21"/>
              </w:rPr>
              <w:t>法律法规及其他要求</w:t>
            </w:r>
          </w:p>
          <w:p>
            <w:pPr>
              <w:tabs>
                <w:tab w:val="left" w:pos="540"/>
              </w:tabs>
              <w:spacing w:line="300" w:lineRule="exact"/>
              <w:ind w:left="241" w:hanging="241" w:hangingChars="100"/>
              <w:rPr>
                <w:rFonts w:ascii="宋体" w:hAnsi="宋体"/>
                <w:b/>
                <w:color w:val="000000" w:themeColor="text1"/>
                <w:szCs w:val="21"/>
              </w:rPr>
            </w:pPr>
          </w:p>
          <w:p>
            <w:pPr>
              <w:pStyle w:val="13"/>
              <w:numPr>
                <w:ilvl w:val="0"/>
                <w:numId w:val="1"/>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获取法律法规项，■法律法规获取充分，□法律法规获取有遗漏，缺少</w:t>
            </w:r>
          </w:p>
          <w:p>
            <w:pPr>
              <w:tabs>
                <w:tab w:val="left" w:pos="540"/>
              </w:tabs>
              <w:spacing w:line="300" w:lineRule="exact"/>
              <w:ind w:left="1" w:leftChars="-43" w:hanging="104" w:hangingChars="43"/>
              <w:rPr>
                <w:rFonts w:ascii="宋体" w:hAnsi="宋体"/>
                <w:b/>
                <w:color w:val="000000" w:themeColor="text1"/>
                <w:szCs w:val="21"/>
                <w:u w:val="single"/>
              </w:rPr>
            </w:pPr>
          </w:p>
          <w:p>
            <w:pPr>
              <w:pStyle w:val="13"/>
              <w:numPr>
                <w:ilvl w:val="0"/>
                <w:numId w:val="1"/>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结合公司的■产品/服务■环境因素■危险源，■确定 □未确定法律法规要求的具体条款，</w:t>
            </w:r>
          </w:p>
          <w:p>
            <w:pPr>
              <w:pStyle w:val="13"/>
              <w:numPr>
                <w:ilvl w:val="0"/>
                <w:numId w:val="1"/>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法律法规的宣传方式：■会议    ■网络    ■公示   ■其他</w:t>
            </w:r>
          </w:p>
          <w:p>
            <w:pPr>
              <w:pStyle w:val="13"/>
              <w:numPr>
                <w:ilvl w:val="0"/>
                <w:numId w:val="1"/>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法律法规要求及时更新了</w:t>
            </w:r>
          </w:p>
          <w:p>
            <w:pPr>
              <w:tabs>
                <w:tab w:val="left" w:pos="0"/>
              </w:tabs>
              <w:spacing w:line="240" w:lineRule="exact"/>
              <w:rPr>
                <w:b/>
                <w:color w:val="000000" w:themeColor="text1"/>
                <w:sz w:val="14"/>
                <w:szCs w:val="1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53" w:hRule="atLeast"/>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Cs w:val="21"/>
              </w:rPr>
            </w:pPr>
            <w:r>
              <w:rPr>
                <w:b/>
                <w:color w:val="000000" w:themeColor="text1"/>
                <w:szCs w:val="21"/>
              </w:rPr>
              <w:t>9</w:t>
            </w:r>
            <w:r>
              <w:rPr>
                <w:rFonts w:hint="eastAsia"/>
                <w:b/>
                <w:color w:val="000000" w:themeColor="text1"/>
                <w:szCs w:val="21"/>
              </w:rPr>
              <w:t xml:space="preserve">. </w:t>
            </w:r>
            <w:r>
              <w:rPr>
                <w:rFonts w:hint="eastAsia" w:ascii="宋体" w:hAnsi="宋体"/>
                <w:b/>
                <w:color w:val="000000" w:themeColor="text1"/>
                <w:szCs w:val="21"/>
              </w:rPr>
              <w:t>目标、方案</w:t>
            </w:r>
          </w:p>
          <w:p>
            <w:pPr>
              <w:spacing w:line="300" w:lineRule="exact"/>
              <w:rPr>
                <w:rFonts w:ascii="宋体" w:hAnsi="宋体"/>
                <w:b/>
                <w:color w:val="000000" w:themeColor="text1"/>
                <w:sz w:val="20"/>
              </w:rPr>
            </w:pPr>
            <w:r>
              <w:rPr>
                <w:rFonts w:hint="eastAsia"/>
                <w:b/>
                <w:color w:val="000000" w:themeColor="text1"/>
                <w:sz w:val="20"/>
              </w:rPr>
              <w:t>（</w:t>
            </w:r>
            <w:r>
              <w:rPr>
                <w:rFonts w:hint="eastAsia" w:ascii="宋体" w:hAnsi="宋体"/>
                <w:b/>
                <w:color w:val="000000" w:themeColor="text1"/>
                <w:spacing w:val="-4"/>
                <w:sz w:val="20"/>
              </w:rPr>
              <w:t>在相关层次上建立</w:t>
            </w:r>
            <w:r>
              <w:rPr>
                <w:rFonts w:hint="eastAsia" w:ascii="宋体" w:hAnsi="宋体"/>
                <w:b/>
                <w:color w:val="000000" w:themeColor="text1"/>
                <w:sz w:val="20"/>
              </w:rPr>
              <w:t>可测量的目标，目标、方案的有效性，对质量目标的实现情况进行评价并叙述测量方法）</w:t>
            </w:r>
          </w:p>
          <w:p>
            <w:pPr>
              <w:spacing w:line="240" w:lineRule="exact"/>
              <w:rPr>
                <w:rFonts w:ascii="宋体" w:hAnsi="宋体"/>
                <w:b/>
                <w:color w:val="000000" w:themeColor="text1"/>
              </w:rPr>
            </w:pPr>
            <w:r>
              <w:rPr>
                <w:rFonts w:hint="eastAsia" w:ascii="宋体" w:hAnsi="宋体"/>
                <w:b/>
                <w:color w:val="000000" w:themeColor="text1"/>
              </w:rPr>
              <w:t xml:space="preserve"> </w:t>
            </w:r>
            <w:r>
              <w:rPr>
                <w:rFonts w:ascii="宋体" w:hAnsi="宋体"/>
                <w:b/>
                <w:color w:val="000000" w:themeColor="text1"/>
              </w:rPr>
              <w:t xml:space="preserve">  </w:t>
            </w:r>
            <w:r>
              <w:rPr>
                <w:rFonts w:hint="eastAsia" w:ascii="宋体" w:hAnsi="宋体"/>
                <w:b/>
                <w:color w:val="000000" w:themeColor="text1"/>
                <w:sz w:val="20"/>
              </w:rPr>
              <w:t xml:space="preserve"> 在公司各职能和层次上建立了质量、环境、职业健康安全目标，并制定了相应考核办法。基本适宜公司特点。目标具有可测量性，对目标完成情况进行了考核。对制订的管理方案实施情况定期进行检查。目前目标均考核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7" w:hRule="atLeast"/>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rFonts w:ascii="宋体" w:hAnsi="宋体"/>
                <w:b/>
                <w:color w:val="000000" w:themeColor="text1"/>
                <w:sz w:val="20"/>
              </w:rPr>
            </w:pPr>
            <w:r>
              <w:rPr>
                <w:b/>
                <w:color w:val="000000" w:themeColor="text1"/>
                <w:sz w:val="20"/>
              </w:rPr>
              <w:t>10</w:t>
            </w:r>
            <w:r>
              <w:rPr>
                <w:rFonts w:hint="eastAsia"/>
                <w:b/>
                <w:color w:val="000000" w:themeColor="text1"/>
                <w:sz w:val="20"/>
              </w:rPr>
              <w:t>. 文件与记录控制 (</w:t>
            </w:r>
            <w:r>
              <w:rPr>
                <w:rFonts w:hint="eastAsia" w:ascii="宋体" w:hAnsi="宋体"/>
                <w:b/>
                <w:color w:val="000000" w:themeColor="text1"/>
                <w:sz w:val="20"/>
              </w:rPr>
              <w:t>文审修订后文件与标准的符合程度评价、</w:t>
            </w:r>
            <w:r>
              <w:rPr>
                <w:rFonts w:hint="eastAsia" w:ascii="宋体" w:hAnsi="宋体"/>
                <w:b/>
                <w:color w:val="000000" w:themeColor="text1"/>
                <w:spacing w:val="-4"/>
                <w:sz w:val="20"/>
              </w:rPr>
              <w:t>文件</w:t>
            </w:r>
            <w:r>
              <w:rPr>
                <w:rFonts w:hint="eastAsia" w:ascii="宋体" w:hAnsi="宋体"/>
                <w:b/>
                <w:color w:val="000000" w:themeColor="text1"/>
                <w:sz w:val="20"/>
              </w:rPr>
              <w:t>控制管理等</w:t>
            </w:r>
          </w:p>
          <w:p>
            <w:pPr>
              <w:tabs>
                <w:tab w:val="left" w:pos="540"/>
              </w:tabs>
              <w:spacing w:line="240" w:lineRule="exact"/>
              <w:rPr>
                <w:rFonts w:ascii="宋体" w:hAnsi="宋体"/>
                <w:b/>
                <w:color w:val="000000" w:themeColor="text1"/>
                <w:sz w:val="20"/>
              </w:rPr>
            </w:pPr>
            <w:r>
              <w:rPr>
                <w:rFonts w:hint="eastAsia" w:ascii="宋体" w:hAnsi="宋体"/>
                <w:b/>
                <w:color w:val="000000" w:themeColor="text1"/>
                <w:sz w:val="20"/>
              </w:rPr>
              <w:t xml:space="preserve"> </w:t>
            </w:r>
            <w:r>
              <w:rPr>
                <w:rFonts w:ascii="宋体" w:hAnsi="宋体"/>
                <w:b/>
                <w:color w:val="000000" w:themeColor="text1"/>
                <w:sz w:val="20"/>
              </w:rPr>
              <w:t xml:space="preserve">   </w:t>
            </w:r>
            <w:r>
              <w:rPr>
                <w:rFonts w:hint="eastAsia" w:ascii="宋体" w:hAnsi="宋体"/>
                <w:b/>
                <w:color w:val="000000" w:themeColor="text1"/>
                <w:sz w:val="20"/>
              </w:rPr>
              <w:t>公司按照制定的文件和记录控制相关程序，对管理体系有关的文件、记录等成文信息进行有效控制，在使用处均有文件的有效版本。公司文件为手册、程序文件、作业文件三层。</w:t>
            </w:r>
          </w:p>
          <w:p>
            <w:pPr>
              <w:tabs>
                <w:tab w:val="left" w:pos="540"/>
              </w:tabs>
              <w:spacing w:line="240" w:lineRule="exact"/>
              <w:ind w:firstLine="402" w:firstLineChars="200"/>
              <w:rPr>
                <w:rFonts w:ascii="宋体" w:hAnsi="宋体"/>
                <w:b/>
                <w:color w:val="000000" w:themeColor="text1"/>
                <w:sz w:val="20"/>
              </w:rPr>
            </w:pPr>
            <w:r>
              <w:rPr>
                <w:rFonts w:hint="eastAsia" w:ascii="宋体" w:hAnsi="宋体"/>
                <w:b/>
                <w:color w:val="000000" w:themeColor="text1"/>
                <w:sz w:val="20"/>
              </w:rPr>
              <w:t>创建和更新文件时，标识和说明、格式、评审和批准等与规定要求相符。文件的存在形式以书面文件和电子版文件为准。文审修订后成文信息的控制符合要求。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0" w:hRule="atLeast"/>
        </w:trPr>
        <w:tc>
          <w:tcPr>
            <w:tcW w:w="720" w:type="dxa"/>
            <w:vMerge w:val="restart"/>
            <w:textDirection w:val="tbRlV"/>
            <w:vAlign w:val="center"/>
          </w:tcPr>
          <w:p>
            <w:pPr>
              <w:spacing w:line="240" w:lineRule="exact"/>
              <w:ind w:left="113" w:right="113"/>
              <w:jc w:val="center"/>
              <w:rPr>
                <w:b/>
                <w:color w:val="000000" w:themeColor="text1"/>
                <w:szCs w:val="21"/>
              </w:rPr>
            </w:pPr>
            <w:r>
              <w:rPr>
                <w:rFonts w:hint="eastAsia"/>
                <w:b/>
                <w:color w:val="000000" w:themeColor="text1"/>
                <w:sz w:val="20"/>
              </w:rPr>
              <w:br w:type="page"/>
            </w:r>
            <w:r>
              <w:rPr>
                <w:rFonts w:hint="eastAsia"/>
                <w:b/>
                <w:color w:val="000000" w:themeColor="text1"/>
                <w:sz w:val="20"/>
              </w:rPr>
              <w:t>(二)资源评价</w:t>
            </w:r>
          </w:p>
        </w:tc>
        <w:tc>
          <w:tcPr>
            <w:tcW w:w="9198" w:type="dxa"/>
          </w:tcPr>
          <w:p>
            <w:pPr>
              <w:spacing w:line="300" w:lineRule="exact"/>
              <w:rPr>
                <w:b/>
                <w:color w:val="000000" w:themeColor="text1"/>
                <w:sz w:val="20"/>
              </w:rPr>
            </w:pPr>
            <w:r>
              <w:rPr>
                <w:rFonts w:hint="eastAsia" w:ascii="宋体" w:hAnsi="宋体"/>
                <w:b/>
                <w:color w:val="000000" w:themeColor="text1"/>
                <w:sz w:val="20"/>
              </w:rPr>
              <w:t>人力资源的简要说明</w:t>
            </w:r>
            <w:r>
              <w:rPr>
                <w:rFonts w:hint="eastAsia"/>
                <w:b/>
                <w:color w:val="000000" w:themeColor="text1"/>
                <w:sz w:val="20"/>
              </w:rPr>
              <w:t>.</w:t>
            </w:r>
            <w:r>
              <w:rPr>
                <w:rFonts w:hint="eastAsia" w:ascii="宋体" w:hAnsi="宋体"/>
                <w:b/>
                <w:color w:val="000000" w:themeColor="text1"/>
                <w:sz w:val="20"/>
              </w:rPr>
              <w:t>:</w:t>
            </w:r>
          </w:p>
          <w:p>
            <w:pPr>
              <w:spacing w:line="300" w:lineRule="exact"/>
              <w:rPr>
                <w:rFonts w:ascii="宋体" w:hAnsi="宋体"/>
                <w:b/>
                <w:color w:val="000000" w:themeColor="text1"/>
                <w:sz w:val="20"/>
              </w:rPr>
            </w:pPr>
            <w:r>
              <w:rPr>
                <w:rFonts w:hint="eastAsia" w:ascii="宋体" w:hAnsi="宋体"/>
                <w:b/>
                <w:color w:val="000000" w:themeColor="text1"/>
                <w:sz w:val="20"/>
              </w:rPr>
              <w:t xml:space="preserve"> </w:t>
            </w:r>
            <w:r>
              <w:rPr>
                <w:rFonts w:ascii="宋体" w:hAnsi="宋体"/>
                <w:b/>
                <w:color w:val="000000" w:themeColor="text1"/>
                <w:sz w:val="20"/>
              </w:rPr>
              <w:t xml:space="preserve">   </w:t>
            </w:r>
            <w:r>
              <w:rPr>
                <w:rFonts w:hint="eastAsia" w:ascii="宋体" w:hAnsi="宋体"/>
                <w:b/>
                <w:color w:val="000000" w:themeColor="text1"/>
                <w:sz w:val="20"/>
              </w:rPr>
              <w:t>该公司员工8人，人力资源满足要求。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rPr>
            </w:pPr>
            <w:r>
              <w:rPr>
                <w:rFonts w:hint="eastAsia" w:ascii="宋体" w:hAnsi="宋体"/>
                <w:b/>
                <w:color w:val="000000" w:themeColor="text1"/>
                <w:sz w:val="20"/>
              </w:rPr>
              <w:t>设备设施（包括信息系统）</w:t>
            </w:r>
          </w:p>
          <w:p>
            <w:pPr>
              <w:spacing w:line="240" w:lineRule="exact"/>
              <w:ind w:firstLine="402" w:firstLineChars="200"/>
              <w:rPr>
                <w:rFonts w:ascii="宋体" w:hAnsi="宋体"/>
                <w:b/>
                <w:color w:val="000000" w:themeColor="text1"/>
                <w:sz w:val="20"/>
              </w:rPr>
            </w:pPr>
            <w:r>
              <w:rPr>
                <w:rFonts w:hint="eastAsia" w:ascii="宋体" w:hAnsi="宋体"/>
                <w:b/>
                <w:color w:val="000000" w:themeColor="text1"/>
                <w:sz w:val="20"/>
              </w:rPr>
              <w:t>设备主要是销售服务设备及办公设备，如电脑、打印机、复印机等。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rPr>
            </w:pPr>
            <w:r>
              <w:rPr>
                <w:rFonts w:hint="eastAsia" w:ascii="宋体" w:hAnsi="宋体"/>
                <w:b/>
                <w:color w:val="000000" w:themeColor="text1"/>
                <w:sz w:val="20"/>
              </w:rPr>
              <w:t>过程运行环境</w:t>
            </w:r>
          </w:p>
          <w:p>
            <w:pPr>
              <w:spacing w:line="240" w:lineRule="exact"/>
              <w:ind w:firstLine="402" w:firstLineChars="200"/>
              <w:rPr>
                <w:rFonts w:ascii="宋体" w:hAnsi="宋体"/>
                <w:b/>
                <w:color w:val="000000" w:themeColor="text1"/>
                <w:sz w:val="20"/>
              </w:rPr>
            </w:pPr>
            <w:r>
              <w:rPr>
                <w:rFonts w:hint="eastAsia" w:ascii="宋体" w:hAnsi="宋体"/>
                <w:b/>
                <w:color w:val="000000" w:themeColor="text1"/>
                <w:sz w:val="20"/>
              </w:rPr>
              <w:t>运行环境无特殊要求，干净整洁即可，能满足要求。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rPr>
            </w:pPr>
            <w:r>
              <w:rPr>
                <w:rFonts w:hint="eastAsia" w:ascii="宋体" w:hAnsi="宋体"/>
                <w:b/>
                <w:color w:val="000000" w:themeColor="text1"/>
                <w:sz w:val="20"/>
              </w:rPr>
              <w:t>监视和测量资源</w:t>
            </w:r>
          </w:p>
          <w:p>
            <w:pPr>
              <w:spacing w:line="240" w:lineRule="exact"/>
              <w:rPr>
                <w:rFonts w:ascii="宋体" w:hAnsi="宋体"/>
                <w:b/>
                <w:color w:val="000000" w:themeColor="text1"/>
                <w:sz w:val="20"/>
              </w:rPr>
            </w:pPr>
            <w:r>
              <w:rPr>
                <w:rFonts w:hint="eastAsia" w:ascii="宋体" w:hAnsi="宋体"/>
                <w:b/>
                <w:color w:val="000000" w:themeColor="text1"/>
                <w:sz w:val="20"/>
              </w:rPr>
              <w:t xml:space="preserve"> </w:t>
            </w:r>
            <w:r>
              <w:rPr>
                <w:rFonts w:ascii="宋体" w:hAnsi="宋体"/>
                <w:b/>
                <w:color w:val="000000" w:themeColor="text1"/>
                <w:sz w:val="20"/>
              </w:rPr>
              <w:t xml:space="preserve">   </w:t>
            </w:r>
            <w:r>
              <w:rPr>
                <w:rFonts w:hint="eastAsia" w:ascii="宋体" w:hAnsi="宋体"/>
                <w:b/>
                <w:color w:val="000000" w:themeColor="text1"/>
                <w:sz w:val="20"/>
              </w:rPr>
              <w:t>监视测量设备，无。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rPr>
            </w:pPr>
            <w:r>
              <w:rPr>
                <w:rFonts w:hint="eastAsia" w:ascii="宋体" w:hAnsi="宋体"/>
                <w:b/>
                <w:color w:val="000000" w:themeColor="text1"/>
                <w:sz w:val="20"/>
              </w:rPr>
              <w:t>知识</w:t>
            </w:r>
          </w:p>
          <w:p>
            <w:pPr>
              <w:spacing w:line="240" w:lineRule="exact"/>
              <w:rPr>
                <w:rFonts w:ascii="宋体" w:hAnsi="宋体"/>
                <w:b/>
                <w:color w:val="000000" w:themeColor="text1"/>
                <w:sz w:val="20"/>
              </w:rPr>
            </w:pPr>
            <w:r>
              <w:rPr>
                <w:rFonts w:hint="eastAsia" w:ascii="宋体" w:hAnsi="宋体"/>
                <w:b/>
                <w:color w:val="000000" w:themeColor="text1"/>
                <w:sz w:val="20"/>
              </w:rPr>
              <w:t xml:space="preserve"> </w:t>
            </w:r>
            <w:r>
              <w:rPr>
                <w:rFonts w:ascii="宋体" w:hAnsi="宋体"/>
                <w:b/>
                <w:color w:val="000000" w:themeColor="text1"/>
                <w:sz w:val="20"/>
              </w:rPr>
              <w:t xml:space="preserve">   </w:t>
            </w:r>
            <w:r>
              <w:rPr>
                <w:rFonts w:hint="eastAsia" w:ascii="宋体" w:hAnsi="宋体"/>
                <w:b/>
                <w:color w:val="000000" w:themeColor="text1"/>
                <w:sz w:val="20"/>
              </w:rPr>
              <w:t>公司确定运行过程所需的知识，内部来源包括公司运作准则（管理制度、工作记录等）、专业技术应用、销售过程管理等。外部来源包括外来资料、法律法规、市场信息等。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rPr>
            </w:pPr>
            <w:r>
              <w:rPr>
                <w:rFonts w:hint="eastAsia" w:ascii="宋体" w:hAnsi="宋体"/>
                <w:b/>
                <w:color w:val="000000" w:themeColor="text1"/>
                <w:sz w:val="20"/>
              </w:rPr>
              <w:t>环保设施：</w:t>
            </w:r>
          </w:p>
          <w:p>
            <w:pPr>
              <w:spacing w:line="240" w:lineRule="exact"/>
              <w:rPr>
                <w:rFonts w:ascii="宋体" w:hAnsi="宋体"/>
                <w:b/>
                <w:color w:val="000000" w:themeColor="text1"/>
                <w:sz w:val="20"/>
              </w:rPr>
            </w:pPr>
            <w:r>
              <w:rPr>
                <w:rFonts w:hint="eastAsia" w:ascii="宋体" w:hAnsi="宋体"/>
                <w:b/>
                <w:color w:val="000000" w:themeColor="text1"/>
                <w:sz w:val="20"/>
              </w:rPr>
              <w:t xml:space="preserve"> </w:t>
            </w:r>
            <w:r>
              <w:rPr>
                <w:rFonts w:ascii="宋体" w:hAnsi="宋体"/>
                <w:b/>
                <w:color w:val="000000" w:themeColor="text1"/>
                <w:sz w:val="20"/>
              </w:rPr>
              <w:t xml:space="preserve">  </w:t>
            </w:r>
            <w:r>
              <w:rPr>
                <w:rFonts w:hint="eastAsia" w:ascii="宋体" w:hAnsi="宋体"/>
                <w:b/>
                <w:color w:val="000000" w:themeColor="text1"/>
                <w:sz w:val="20"/>
              </w:rPr>
              <w:t>消防栓、灭火器等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rPr>
            </w:pPr>
            <w:r>
              <w:rPr>
                <w:rFonts w:hint="eastAsia" w:ascii="宋体" w:hAnsi="宋体"/>
                <w:b/>
                <w:color w:val="000000" w:themeColor="text1"/>
                <w:sz w:val="20"/>
              </w:rPr>
              <w:t>职业健康安全设施：</w:t>
            </w:r>
          </w:p>
          <w:p>
            <w:pPr>
              <w:spacing w:line="240" w:lineRule="exact"/>
              <w:ind w:firstLine="402" w:firstLineChars="200"/>
              <w:rPr>
                <w:rFonts w:ascii="宋体" w:hAnsi="宋体"/>
                <w:b/>
                <w:color w:val="000000" w:themeColor="text1"/>
                <w:sz w:val="20"/>
              </w:rPr>
            </w:pPr>
            <w:r>
              <w:rPr>
                <w:rFonts w:hint="eastAsia" w:ascii="宋体" w:hAnsi="宋体"/>
                <w:b/>
                <w:color w:val="000000" w:themeColor="text1"/>
                <w:sz w:val="20"/>
              </w:rPr>
              <w:t>消防栓、灭火器等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21" w:hRule="atLeast"/>
        </w:trPr>
        <w:tc>
          <w:tcPr>
            <w:tcW w:w="720" w:type="dxa"/>
            <w:vMerge w:val="restart"/>
            <w:textDirection w:val="tbRlV"/>
            <w:vAlign w:val="center"/>
          </w:tcPr>
          <w:p>
            <w:pPr>
              <w:spacing w:line="240" w:lineRule="exact"/>
              <w:ind w:left="113" w:right="113"/>
              <w:jc w:val="center"/>
              <w:rPr>
                <w:b/>
                <w:color w:val="000000" w:themeColor="text1"/>
                <w:sz w:val="20"/>
              </w:rPr>
            </w:pPr>
            <w:r>
              <w:rPr>
                <w:rFonts w:hint="eastAsia"/>
                <w:b/>
                <w:color w:val="000000" w:themeColor="text1"/>
                <w:sz w:val="20"/>
              </w:rPr>
              <w:t>(三)体系运行情况</w:t>
            </w:r>
          </w:p>
        </w:tc>
        <w:tc>
          <w:tcPr>
            <w:tcW w:w="9198" w:type="dxa"/>
          </w:tcPr>
          <w:p>
            <w:pPr>
              <w:spacing w:line="300" w:lineRule="exact"/>
              <w:rPr>
                <w:b/>
                <w:color w:val="000000" w:themeColor="text1"/>
                <w:sz w:val="20"/>
              </w:rPr>
            </w:pPr>
            <w:r>
              <w:rPr>
                <w:rFonts w:hint="eastAsia"/>
                <w:b/>
                <w:color w:val="000000" w:themeColor="text1"/>
                <w:sz w:val="20"/>
              </w:rPr>
              <w:t>1. 针对方针的管理职责评审</w:t>
            </w:r>
          </w:p>
          <w:p>
            <w:pPr>
              <w:spacing w:line="300" w:lineRule="exact"/>
              <w:ind w:left="1"/>
              <w:rPr>
                <w:b/>
                <w:color w:val="000000" w:themeColor="text1"/>
                <w:sz w:val="20"/>
              </w:rPr>
            </w:pPr>
            <w:r>
              <w:rPr>
                <w:rFonts w:hint="eastAsia"/>
                <w:b/>
                <w:color w:val="000000" w:themeColor="text1"/>
                <w:sz w:val="20"/>
              </w:rPr>
              <w:t>（包括针对组织宗旨，制定相关管理方针政策、确保方针为员工理解并在运营中实施，监视方针的实施并评审方针的适宜性）</w:t>
            </w:r>
          </w:p>
          <w:p>
            <w:pPr>
              <w:spacing w:line="300" w:lineRule="exact"/>
              <w:ind w:left="1" w:firstLine="402" w:firstLineChars="200"/>
              <w:rPr>
                <w:b/>
                <w:color w:val="000000" w:themeColor="text1"/>
                <w:sz w:val="20"/>
              </w:rPr>
            </w:pPr>
            <w:r>
              <w:rPr>
                <w:rFonts w:hint="eastAsia"/>
                <w:b/>
                <w:color w:val="000000" w:themeColor="text1"/>
                <w:sz w:val="20"/>
              </w:rPr>
              <w:t xml:space="preserve"> </w:t>
            </w:r>
            <w:r>
              <w:rPr>
                <w:b/>
                <w:color w:val="000000" w:themeColor="text1"/>
                <w:sz w:val="20"/>
              </w:rPr>
              <w:t xml:space="preserve">   </w:t>
            </w:r>
            <w:r>
              <w:rPr>
                <w:rFonts w:hint="eastAsia"/>
                <w:b/>
                <w:color w:val="000000" w:themeColor="text1"/>
                <w:sz w:val="20"/>
              </w:rPr>
              <w:t>最高管理者组织制定了方针：现行的方针在手册有专门的释议，具备适宜性。通过会议、张贴等方式进行传达宣贯，管理绩效表明其方针能够通过管理体系加以有效实施、实现及动态管理，实际未发生变更。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159" w:hanging="159" w:hangingChars="79"/>
              <w:rPr>
                <w:b/>
                <w:color w:val="000000" w:themeColor="text1"/>
                <w:sz w:val="20"/>
              </w:rPr>
            </w:pPr>
            <w:r>
              <w:rPr>
                <w:rFonts w:hint="eastAsia"/>
                <w:b/>
                <w:color w:val="000000" w:themeColor="text1"/>
                <w:sz w:val="20"/>
              </w:rPr>
              <w:t>2. 组织内部沟通的充分性与效果；（OHSMS员工参与风险管理/健康安全事务的关心和影响力；组织对外联络关注顾客的感受情况、</w:t>
            </w:r>
            <w:r>
              <w:rPr>
                <w:b/>
                <w:color w:val="000000" w:themeColor="text1"/>
                <w:sz w:val="20"/>
              </w:rPr>
              <w:t>信息交流</w:t>
            </w:r>
            <w:r>
              <w:rPr>
                <w:rFonts w:hint="eastAsia"/>
                <w:b/>
                <w:color w:val="000000" w:themeColor="text1"/>
                <w:sz w:val="20"/>
              </w:rPr>
              <w:t>包括通报相关方的情况等）</w:t>
            </w:r>
          </w:p>
          <w:p>
            <w:pPr>
              <w:spacing w:line="240" w:lineRule="exact"/>
              <w:rPr>
                <w:rFonts w:ascii="楷体_GB2312" w:eastAsia="楷体_GB2312"/>
                <w:b/>
                <w:color w:val="000000" w:themeColor="text1"/>
                <w:sz w:val="20"/>
              </w:rPr>
            </w:pPr>
          </w:p>
          <w:p>
            <w:pPr>
              <w:spacing w:line="240" w:lineRule="exact"/>
              <w:rPr>
                <w:b/>
                <w:color w:val="000000" w:themeColor="text1"/>
                <w:sz w:val="20"/>
              </w:rPr>
            </w:pPr>
            <w:r>
              <w:rPr>
                <w:rFonts w:hint="eastAsia"/>
                <w:b/>
                <w:color w:val="000000" w:themeColor="text1"/>
                <w:sz w:val="20"/>
              </w:rPr>
              <w:t>内部沟通的情况：部沟通的情况：内部沟通方式：会议、公告栏、发放文件、网络等</w:t>
            </w:r>
          </w:p>
          <w:p>
            <w:pPr>
              <w:spacing w:line="240" w:lineRule="exact"/>
              <w:rPr>
                <w:b/>
                <w:color w:val="000000" w:themeColor="text1"/>
                <w:sz w:val="20"/>
              </w:rPr>
            </w:pPr>
            <w:r>
              <w:rPr>
                <w:rFonts w:hint="eastAsia"/>
                <w:b/>
                <w:color w:val="000000" w:themeColor="text1"/>
                <w:sz w:val="20"/>
              </w:rPr>
              <w:t>内部沟通的效果：能够得到有效沟通</w:t>
            </w:r>
          </w:p>
          <w:p>
            <w:pPr>
              <w:spacing w:line="240" w:lineRule="exact"/>
              <w:rPr>
                <w:b/>
                <w:color w:val="000000" w:themeColor="text1"/>
                <w:sz w:val="20"/>
              </w:rPr>
            </w:pPr>
            <w:r>
              <w:rPr>
                <w:rFonts w:hint="eastAsia"/>
                <w:b/>
                <w:color w:val="000000" w:themeColor="text1"/>
                <w:sz w:val="20"/>
              </w:rPr>
              <w:t>公司对外联络，关注顾客的感受情况（QMS）：顾客满意度调查表的发放、电话回访、到顾客现场进行询问等形式</w:t>
            </w:r>
          </w:p>
          <w:p>
            <w:pPr>
              <w:spacing w:line="240" w:lineRule="exact"/>
              <w:rPr>
                <w:b/>
                <w:color w:val="000000" w:themeColor="text1"/>
                <w:sz w:val="20"/>
              </w:rPr>
            </w:pPr>
            <w:r>
              <w:rPr>
                <w:rFonts w:hint="eastAsia"/>
                <w:b/>
                <w:color w:val="000000" w:themeColor="text1"/>
                <w:sz w:val="20"/>
              </w:rPr>
              <w:t>外部信息的接收、成文并答复的情况（E、S填写）：进行接收、答复，进行记录。</w:t>
            </w:r>
          </w:p>
          <w:p>
            <w:pPr>
              <w:spacing w:line="240" w:lineRule="exact"/>
              <w:rPr>
                <w:b/>
                <w:color w:val="000000" w:themeColor="text1"/>
                <w:sz w:val="20"/>
              </w:rPr>
            </w:pPr>
            <w:r>
              <w:rPr>
                <w:rFonts w:hint="eastAsia"/>
                <w:b/>
                <w:color w:val="000000" w:themeColor="text1"/>
                <w:sz w:val="20"/>
              </w:rPr>
              <w:t>重要环境因素信息对外交流情况（EMS填写）：对相关方进行了书面告知，见到相关方告知书。</w:t>
            </w:r>
          </w:p>
          <w:p>
            <w:pPr>
              <w:spacing w:line="240" w:lineRule="exact"/>
              <w:rPr>
                <w:b/>
                <w:color w:val="000000" w:themeColor="text1"/>
                <w:sz w:val="20"/>
              </w:rPr>
            </w:pPr>
            <w:r>
              <w:rPr>
                <w:rFonts w:hint="eastAsia"/>
                <w:b/>
                <w:color w:val="000000" w:themeColor="text1"/>
                <w:sz w:val="20"/>
              </w:rPr>
              <w:t>OHSMS事务代表协商和交流的情况（OHSMS填写）：参与了管理体系文件的制定，每年召开一次员工代表会议，保留记录。</w:t>
            </w:r>
          </w:p>
          <w:p>
            <w:pPr>
              <w:spacing w:line="240" w:lineRule="exact"/>
              <w:rPr>
                <w:rFonts w:ascii="楷体_GB2312" w:eastAsia="楷体_GB2312"/>
                <w:b/>
                <w:color w:val="000000" w:themeColor="text1"/>
                <w:szCs w:val="21"/>
              </w:rPr>
            </w:pPr>
            <w:r>
              <w:rPr>
                <w:rFonts w:hint="eastAsia"/>
                <w:b/>
                <w:color w:val="000000" w:themeColor="text1"/>
                <w:sz w:val="20"/>
              </w:rPr>
              <w:t>与相关方协商的情况（OHSMS填写）：对相关方进行了书面告知，见到相关方告知书。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5" w:hRule="atLeast"/>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rPr>
            </w:pPr>
            <w:r>
              <w:rPr>
                <w:rFonts w:hint="eastAsia"/>
                <w:b/>
                <w:color w:val="000000" w:themeColor="text1"/>
                <w:sz w:val="20"/>
              </w:rPr>
              <w:t>3.  QMS 组织对重要过程实施控制的结果</w:t>
            </w:r>
          </w:p>
          <w:p>
            <w:pPr>
              <w:spacing w:line="240" w:lineRule="exact"/>
              <w:ind w:left="201" w:leftChars="42" w:hanging="100" w:hangingChars="50"/>
              <w:rPr>
                <w:b/>
                <w:color w:val="000000" w:themeColor="text1"/>
                <w:sz w:val="20"/>
              </w:rPr>
            </w:pPr>
            <w:r>
              <w:rPr>
                <w:rFonts w:hint="eastAsia"/>
                <w:b/>
                <w:color w:val="000000" w:themeColor="text1"/>
                <w:sz w:val="20"/>
              </w:rPr>
              <w:t>(包括对QMS关键工序(过程)、特殊过程控制;评价组织对过程实施控制情况/)</w:t>
            </w:r>
          </w:p>
          <w:p>
            <w:pPr>
              <w:spacing w:line="240" w:lineRule="exact"/>
              <w:ind w:left="201" w:leftChars="42" w:hanging="100" w:hangingChars="50"/>
              <w:rPr>
                <w:b/>
                <w:color w:val="000000" w:themeColor="text1"/>
                <w:sz w:val="20"/>
              </w:rPr>
            </w:pPr>
          </w:p>
          <w:p>
            <w:pPr>
              <w:spacing w:line="240" w:lineRule="exact"/>
              <w:ind w:firstLine="402" w:firstLineChars="200"/>
              <w:rPr>
                <w:b/>
                <w:color w:val="000000" w:themeColor="text1"/>
                <w:sz w:val="20"/>
              </w:rPr>
            </w:pPr>
            <w:r>
              <w:rPr>
                <w:rFonts w:hint="eastAsia"/>
                <w:b/>
                <w:color w:val="000000" w:themeColor="text1"/>
                <w:sz w:val="20"/>
              </w:rPr>
              <w:t>公司在体系文件中，规定了公司各管理层次（如质量职能部门）和在各阶段对产品和服务过程质量实施检查与验收的管理要求，质量检查与验收范围包括了各相关阶段和过程类型，各个层次相关的检查与验收活动的策划、实施和改进活动正常有序展开（包括回访和顾客满意度调查），相关绩效表明：组织基本能有效控制管理其生产及服务过程，从审核过程看，公司的产品质量管理基本受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4" w:hRule="atLeast"/>
        </w:trPr>
        <w:tc>
          <w:tcPr>
            <w:tcW w:w="720" w:type="dxa"/>
            <w:vMerge w:val="continue"/>
            <w:vAlign w:val="center"/>
          </w:tcPr>
          <w:p>
            <w:pPr>
              <w:spacing w:line="240" w:lineRule="exact"/>
              <w:jc w:val="center"/>
              <w:rPr>
                <w:b/>
                <w:color w:val="000000" w:themeColor="text1"/>
                <w:szCs w:val="21"/>
              </w:rPr>
            </w:pPr>
          </w:p>
        </w:tc>
        <w:tc>
          <w:tcPr>
            <w:tcW w:w="9198" w:type="dxa"/>
          </w:tcPr>
          <w:p>
            <w:pPr>
              <w:spacing w:line="300" w:lineRule="exact"/>
              <w:jc w:val="left"/>
              <w:rPr>
                <w:b/>
                <w:color w:val="000000" w:themeColor="text1"/>
                <w:sz w:val="20"/>
              </w:rPr>
            </w:pPr>
            <w:r>
              <w:rPr>
                <w:rFonts w:hint="eastAsia"/>
                <w:b/>
                <w:color w:val="000000" w:themeColor="text1"/>
                <w:sz w:val="20"/>
              </w:rPr>
              <w:t>4.QMS产品/服务的标准、协议/规范的有效性以及产品/服务质量符合要求，向顾客稳定提供合格产品的情况；</w:t>
            </w:r>
          </w:p>
          <w:p>
            <w:pPr>
              <w:spacing w:line="240" w:lineRule="exact"/>
              <w:ind w:firstLine="402" w:firstLineChars="200"/>
              <w:rPr>
                <w:b/>
                <w:color w:val="000000" w:themeColor="text1"/>
                <w:sz w:val="20"/>
              </w:rPr>
            </w:pPr>
            <w:r>
              <w:rPr>
                <w:rFonts w:hint="eastAsia"/>
                <w:b/>
                <w:color w:val="000000" w:themeColor="text1"/>
                <w:sz w:val="20"/>
              </w:rPr>
              <w:t>制定并实施了产品及服务检验控制规定，规定了公司在各阶段对产品服务质量实施检查与验收的管理要求。内容基本具备全面性、系统性及可操作性。范围包括：过程、最终产品。以此保证持续向顾客稳定提供稳定合格的产品和服务。</w:t>
            </w:r>
          </w:p>
          <w:p>
            <w:pPr>
              <w:spacing w:line="240" w:lineRule="exact"/>
              <w:rPr>
                <w:b/>
                <w:color w:val="000000" w:themeColor="text1"/>
                <w:sz w:val="20"/>
              </w:rPr>
            </w:pPr>
            <w:r>
              <w:rPr>
                <w:rFonts w:hint="eastAsia"/>
                <w:b/>
                <w:color w:val="000000" w:themeColor="text1"/>
                <w:sz w:val="20"/>
              </w:rPr>
              <w:t>(应说明相关证据)：</w:t>
            </w:r>
            <w:r>
              <w:rPr>
                <w:rFonts w:hint="eastAsia"/>
                <w:color w:val="000000" w:themeColor="text1"/>
                <w:sz w:val="20"/>
              </w:rPr>
              <w:t>验收规范、验收报告等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1" w:hRule="atLeast"/>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rPr>
            </w:pPr>
            <w:r>
              <w:rPr>
                <w:rFonts w:hint="eastAsia"/>
                <w:b/>
                <w:color w:val="000000" w:themeColor="text1"/>
                <w:sz w:val="20"/>
              </w:rPr>
              <w:t>5 .QMS国家/地方技术监督部门监测（检测、委托检测、定期监测、型式试验等）、抽查结果</w:t>
            </w:r>
          </w:p>
          <w:p>
            <w:pPr>
              <w:spacing w:line="240" w:lineRule="exact"/>
              <w:ind w:firstLine="201" w:firstLineChars="100"/>
              <w:rPr>
                <w:b/>
                <w:color w:val="000000" w:themeColor="text1"/>
                <w:sz w:val="20"/>
              </w:rPr>
            </w:pPr>
          </w:p>
          <w:p>
            <w:pPr>
              <w:spacing w:line="240" w:lineRule="exact"/>
              <w:ind w:firstLine="201" w:firstLineChars="100"/>
              <w:rPr>
                <w:b/>
                <w:color w:val="000000" w:themeColor="text1"/>
                <w:sz w:val="20"/>
              </w:rPr>
            </w:pPr>
            <w:r>
              <w:rPr>
                <w:rFonts w:hint="eastAsia"/>
                <w:b/>
                <w:color w:val="000000" w:themeColor="text1"/>
                <w:sz w:val="20"/>
              </w:rPr>
              <w:t xml:space="preserve"> </w:t>
            </w:r>
            <w:r>
              <w:rPr>
                <w:b/>
                <w:color w:val="000000" w:themeColor="text1"/>
                <w:sz w:val="20"/>
              </w:rPr>
              <w:t xml:space="preserve"> </w:t>
            </w:r>
            <w:r>
              <w:rPr>
                <w:rFonts w:hint="eastAsia"/>
                <w:b/>
                <w:color w:val="000000" w:themeColor="text1"/>
                <w:sz w:val="20"/>
              </w:rPr>
              <w:t>无</w:t>
            </w:r>
          </w:p>
          <w:p>
            <w:pPr>
              <w:spacing w:line="240" w:lineRule="exact"/>
              <w:rPr>
                <w:b/>
                <w:color w:val="000000" w:themeColor="text1"/>
                <w:sz w:val="20"/>
              </w:rPr>
            </w:pPr>
          </w:p>
          <w:p>
            <w:pPr>
              <w:spacing w:line="300" w:lineRule="exact"/>
              <w:ind w:firstLine="197" w:firstLineChars="98"/>
              <w:rPr>
                <w:b/>
                <w:color w:val="000000" w:themeColor="text1"/>
                <w:sz w:val="20"/>
              </w:rPr>
            </w:pPr>
            <w:r>
              <w:rPr>
                <w:rFonts w:hint="eastAsia"/>
                <w:b/>
                <w:color w:val="000000" w:themeColor="text1"/>
                <w:sz w:val="20"/>
              </w:rPr>
              <w:t>（附相关证据）：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9" w:hRule="atLeast"/>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pacing w:val="-8"/>
                <w:sz w:val="20"/>
              </w:rPr>
            </w:pPr>
            <w:r>
              <w:rPr>
                <w:rFonts w:hint="eastAsia"/>
                <w:b/>
                <w:color w:val="000000" w:themeColor="text1"/>
                <w:sz w:val="20"/>
              </w:rPr>
              <w:t xml:space="preserve">6. </w:t>
            </w:r>
            <w:r>
              <w:rPr>
                <w:rFonts w:hint="eastAsia"/>
                <w:b/>
                <w:color w:val="000000" w:themeColor="text1"/>
                <w:spacing w:val="-8"/>
                <w:sz w:val="20"/>
              </w:rPr>
              <w:t>不合格品/项的识别、控制;</w:t>
            </w:r>
          </w:p>
          <w:p>
            <w:pPr>
              <w:spacing w:line="240" w:lineRule="exact"/>
              <w:rPr>
                <w:b/>
                <w:color w:val="000000" w:themeColor="text1"/>
                <w:sz w:val="20"/>
              </w:rPr>
            </w:pPr>
          </w:p>
          <w:p>
            <w:pPr>
              <w:spacing w:line="240" w:lineRule="exact"/>
              <w:rPr>
                <w:b/>
                <w:color w:val="000000" w:themeColor="text1"/>
                <w:sz w:val="20"/>
              </w:rPr>
            </w:pPr>
            <w:r>
              <w:rPr>
                <w:rFonts w:hint="eastAsia"/>
                <w:b/>
                <w:color w:val="000000" w:themeColor="text1"/>
                <w:sz w:val="20"/>
              </w:rPr>
              <w:t xml:space="preserve"> </w:t>
            </w:r>
            <w:r>
              <w:rPr>
                <w:b/>
                <w:color w:val="000000" w:themeColor="text1"/>
                <w:sz w:val="20"/>
              </w:rPr>
              <w:t xml:space="preserve">   </w:t>
            </w:r>
            <w:r>
              <w:rPr>
                <w:rFonts w:hint="eastAsia"/>
                <w:b/>
                <w:color w:val="000000" w:themeColor="text1"/>
                <w:sz w:val="20"/>
              </w:rPr>
              <w:t>能对发现的不符合项及时进行纠正和控制。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8" w:hRule="atLeast"/>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rPr>
            </w:pPr>
            <w:r>
              <w:rPr>
                <w:rFonts w:hint="eastAsia"/>
                <w:b/>
                <w:color w:val="000000" w:themeColor="text1"/>
                <w:sz w:val="20"/>
              </w:rPr>
              <w:t>7. EMS组织对重要环境因素实施控制的结果</w:t>
            </w:r>
          </w:p>
          <w:p>
            <w:pPr>
              <w:spacing w:line="240" w:lineRule="exact"/>
              <w:rPr>
                <w:b/>
                <w:color w:val="000000" w:themeColor="text1"/>
                <w:sz w:val="20"/>
              </w:rPr>
            </w:pPr>
            <w:r>
              <w:rPr>
                <w:rFonts w:hint="eastAsia"/>
                <w:b/>
                <w:color w:val="000000" w:themeColor="text1"/>
                <w:sz w:val="20"/>
              </w:rPr>
              <w:t>（EMS对重要环境因素控制，重大环境因素对周边环境产生的影响及控制;对相关方施加影响）</w:t>
            </w:r>
          </w:p>
          <w:p>
            <w:pPr>
              <w:spacing w:line="240" w:lineRule="exact"/>
              <w:rPr>
                <w:b/>
                <w:color w:val="000000" w:themeColor="text1"/>
                <w:sz w:val="20"/>
              </w:rPr>
            </w:pPr>
          </w:p>
          <w:p>
            <w:pPr>
              <w:spacing w:line="240" w:lineRule="exact"/>
              <w:ind w:firstLine="402" w:firstLineChars="200"/>
              <w:rPr>
                <w:b/>
                <w:color w:val="000000" w:themeColor="text1"/>
                <w:sz w:val="20"/>
              </w:rPr>
            </w:pPr>
            <w:r>
              <w:rPr>
                <w:rFonts w:hint="eastAsia"/>
                <w:b/>
                <w:color w:val="000000" w:themeColor="text1"/>
                <w:sz w:val="20"/>
              </w:rPr>
              <w:t>对重要环境因素进行了识别（火灾、固体废弃物），控制基本有效。对周边环境影响不大，可得到有效控制。对相关方进行了必要告知。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3" w:hRule="atLeast"/>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rPr>
            </w:pPr>
            <w:r>
              <w:rPr>
                <w:rFonts w:hint="eastAsia"/>
                <w:b/>
                <w:color w:val="000000" w:themeColor="text1"/>
                <w:sz w:val="20"/>
              </w:rPr>
              <w:t>8. OHSMS 组织对不可接受风险实施控制的结果</w:t>
            </w:r>
          </w:p>
          <w:p>
            <w:pPr>
              <w:spacing w:line="240" w:lineRule="exact"/>
              <w:rPr>
                <w:b/>
                <w:color w:val="000000" w:themeColor="text1"/>
                <w:sz w:val="20"/>
              </w:rPr>
            </w:pPr>
            <w:r>
              <w:rPr>
                <w:rFonts w:hint="eastAsia"/>
                <w:b/>
                <w:color w:val="000000" w:themeColor="text1"/>
                <w:sz w:val="20"/>
              </w:rPr>
              <w:t xml:space="preserve"> </w:t>
            </w:r>
            <w:r>
              <w:rPr>
                <w:b/>
                <w:color w:val="000000" w:themeColor="text1"/>
                <w:sz w:val="20"/>
              </w:rPr>
              <w:t xml:space="preserve">  </w:t>
            </w:r>
          </w:p>
          <w:p>
            <w:pPr>
              <w:spacing w:line="240" w:lineRule="exact"/>
              <w:rPr>
                <w:b/>
                <w:color w:val="000000" w:themeColor="text1"/>
                <w:sz w:val="20"/>
              </w:rPr>
            </w:pPr>
            <w:r>
              <w:rPr>
                <w:rFonts w:hint="eastAsia"/>
                <w:b/>
                <w:color w:val="000000" w:themeColor="text1"/>
                <w:sz w:val="20"/>
              </w:rPr>
              <w:t xml:space="preserve"> </w:t>
            </w:r>
            <w:r>
              <w:rPr>
                <w:b/>
                <w:color w:val="000000" w:themeColor="text1"/>
                <w:sz w:val="20"/>
              </w:rPr>
              <w:t xml:space="preserve">   </w:t>
            </w:r>
            <w:r>
              <w:rPr>
                <w:rFonts w:hint="eastAsia"/>
                <w:b/>
                <w:color w:val="000000" w:themeColor="text1"/>
                <w:sz w:val="20"/>
              </w:rPr>
              <w:t>对不可接受危险源进行了识别（</w:t>
            </w:r>
            <w:r>
              <w:rPr>
                <w:rFonts w:hint="eastAsia"/>
                <w:b/>
                <w:sz w:val="20"/>
                <w:szCs w:val="22"/>
              </w:rPr>
              <w:t>火灾、触电</w:t>
            </w:r>
            <w:r>
              <w:rPr>
                <w:rFonts w:hint="eastAsia"/>
                <w:b/>
                <w:color w:val="000000" w:themeColor="text1"/>
                <w:sz w:val="20"/>
              </w:rPr>
              <w:t>），控制基本有效。目前公司不可接受危险源对公司及周边环境影响不大，可得到有效控制。对相关方进行了必要告知。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1" w:hRule="atLeast"/>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201" w:hanging="201" w:hangingChars="100"/>
              <w:rPr>
                <w:b/>
                <w:color w:val="000000" w:themeColor="text1"/>
                <w:sz w:val="20"/>
              </w:rPr>
            </w:pPr>
            <w:r>
              <w:rPr>
                <w:rFonts w:hint="eastAsia"/>
                <w:b/>
                <w:color w:val="000000" w:themeColor="text1"/>
                <w:sz w:val="20"/>
              </w:rPr>
              <w:t xml:space="preserve">9. 应急准备与相应活动的演练及对预案可行性的评价(当有规定时) </w:t>
            </w:r>
          </w:p>
          <w:p>
            <w:pPr>
              <w:spacing w:line="240" w:lineRule="exact"/>
              <w:rPr>
                <w:b/>
                <w:color w:val="000000" w:themeColor="text1"/>
                <w:spacing w:val="-4"/>
                <w:sz w:val="20"/>
              </w:rPr>
            </w:pPr>
            <w:r>
              <w:rPr>
                <w:rFonts w:hint="eastAsia"/>
                <w:b/>
                <w:color w:val="000000" w:themeColor="text1"/>
                <w:spacing w:val="-4"/>
                <w:sz w:val="20"/>
              </w:rPr>
              <w:t xml:space="preserve"> </w:t>
            </w:r>
            <w:r>
              <w:rPr>
                <w:b/>
                <w:color w:val="000000" w:themeColor="text1"/>
                <w:spacing w:val="-4"/>
                <w:sz w:val="20"/>
              </w:rPr>
              <w:t xml:space="preserve">   </w:t>
            </w:r>
            <w:r>
              <w:rPr>
                <w:rFonts w:hint="eastAsia"/>
                <w:b/>
                <w:color w:val="000000" w:themeColor="text1"/>
                <w:spacing w:val="-4"/>
                <w:sz w:val="20"/>
              </w:rPr>
              <w:t>对火灾突发事件等制定了应急预案，提供了火灾“应急预案演练记录”，对演练效果进行评价。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6" w:hRule="atLeast"/>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rPr>
            </w:pPr>
            <w:r>
              <w:rPr>
                <w:rFonts w:hint="eastAsia"/>
                <w:b/>
                <w:color w:val="000000" w:themeColor="text1"/>
                <w:sz w:val="20"/>
              </w:rPr>
              <w:t xml:space="preserve">10. 对特种设备的维护，检定; </w:t>
            </w:r>
          </w:p>
          <w:p>
            <w:pPr>
              <w:spacing w:line="240" w:lineRule="exact"/>
              <w:rPr>
                <w:b/>
                <w:color w:val="000000" w:themeColor="text1"/>
                <w:sz w:val="20"/>
              </w:rPr>
            </w:pPr>
            <w:r>
              <w:rPr>
                <w:rFonts w:hint="eastAsia"/>
                <w:b/>
                <w:color w:val="000000" w:themeColor="text1"/>
                <w:sz w:val="20"/>
              </w:rPr>
              <w:t xml:space="preserve"> </w:t>
            </w:r>
            <w:r>
              <w:rPr>
                <w:b/>
                <w:color w:val="000000" w:themeColor="text1"/>
                <w:sz w:val="20"/>
              </w:rPr>
              <w:t xml:space="preserve">   </w:t>
            </w:r>
            <w:r>
              <w:rPr>
                <w:rFonts w:hint="eastAsia"/>
                <w:b/>
                <w:color w:val="000000" w:themeColor="text1"/>
                <w:sz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rPr>
            </w:pPr>
            <w:r>
              <w:rPr>
                <w:rFonts w:hint="eastAsia"/>
                <w:b/>
                <w:color w:val="000000" w:themeColor="text1"/>
                <w:sz w:val="20"/>
              </w:rPr>
              <w:t>11 .对危险化学品生产、使用、储存、运输处置，规定的执行力度(必要时);</w:t>
            </w:r>
          </w:p>
          <w:p>
            <w:pPr>
              <w:spacing w:line="240" w:lineRule="exact"/>
              <w:rPr>
                <w:b/>
                <w:color w:val="000000" w:themeColor="text1"/>
                <w:sz w:val="20"/>
              </w:rPr>
            </w:pPr>
          </w:p>
          <w:p>
            <w:pPr>
              <w:spacing w:line="240" w:lineRule="exact"/>
              <w:rPr>
                <w:b/>
                <w:color w:val="000000" w:themeColor="text1"/>
                <w:sz w:val="20"/>
              </w:rPr>
            </w:pPr>
            <w:r>
              <w:rPr>
                <w:rFonts w:hint="eastAsia"/>
                <w:b/>
                <w:color w:val="000000" w:themeColor="text1"/>
                <w:sz w:val="20"/>
              </w:rPr>
              <w:t xml:space="preserve"> </w:t>
            </w:r>
            <w:r>
              <w:rPr>
                <w:b/>
                <w:color w:val="000000" w:themeColor="text1"/>
                <w:sz w:val="20"/>
              </w:rPr>
              <w:t xml:space="preserve">   </w:t>
            </w:r>
            <w:r>
              <w:rPr>
                <w:rFonts w:hint="eastAsia"/>
                <w:b/>
                <w:color w:val="000000" w:themeColor="text1"/>
                <w:sz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2" w:hRule="atLeast"/>
        </w:trPr>
        <w:tc>
          <w:tcPr>
            <w:tcW w:w="720" w:type="dxa"/>
            <w:vMerge w:val="restart"/>
            <w:textDirection w:val="tbRlV"/>
            <w:vAlign w:val="center"/>
          </w:tcPr>
          <w:p>
            <w:pPr>
              <w:spacing w:line="240" w:lineRule="exact"/>
              <w:ind w:left="113" w:right="113"/>
              <w:jc w:val="center"/>
              <w:rPr>
                <w:b/>
                <w:color w:val="000000" w:themeColor="text1"/>
                <w:szCs w:val="21"/>
              </w:rPr>
            </w:pPr>
            <w:r>
              <w:rPr>
                <w:rFonts w:hint="eastAsia"/>
                <w:b/>
                <w:color w:val="000000" w:themeColor="text1"/>
                <w:szCs w:val="21"/>
              </w:rPr>
              <w:t>(四)监视测量方面</w:t>
            </w:r>
          </w:p>
        </w:tc>
        <w:tc>
          <w:tcPr>
            <w:tcW w:w="9198" w:type="dxa"/>
          </w:tcPr>
          <w:p>
            <w:pPr>
              <w:spacing w:line="240" w:lineRule="exact"/>
              <w:ind w:left="100" w:hanging="100" w:hangingChars="50"/>
              <w:rPr>
                <w:b/>
                <w:color w:val="000000" w:themeColor="text1"/>
                <w:sz w:val="20"/>
              </w:rPr>
            </w:pPr>
            <w:r>
              <w:rPr>
                <w:rFonts w:hint="eastAsia"/>
                <w:b/>
                <w:color w:val="000000" w:themeColor="text1"/>
                <w:sz w:val="20"/>
              </w:rPr>
              <w:t>1. .对质量/环境/职业健康安全目标指标进行定期监测/检查情况</w:t>
            </w:r>
          </w:p>
          <w:p>
            <w:pPr>
              <w:spacing w:line="240" w:lineRule="exact"/>
              <w:ind w:left="100" w:hanging="100" w:hangingChars="50"/>
              <w:rPr>
                <w:b/>
                <w:color w:val="000000" w:themeColor="text1"/>
                <w:sz w:val="20"/>
              </w:rPr>
            </w:pPr>
          </w:p>
          <w:p>
            <w:pPr>
              <w:spacing w:line="240" w:lineRule="exact"/>
              <w:rPr>
                <w:b/>
                <w:color w:val="000000" w:themeColor="text1"/>
                <w:sz w:val="20"/>
              </w:rPr>
            </w:pPr>
            <w:r>
              <w:rPr>
                <w:rFonts w:hint="eastAsia"/>
                <w:b/>
                <w:color w:val="000000" w:themeColor="text1"/>
                <w:sz w:val="20"/>
              </w:rPr>
              <w:t xml:space="preserve"> </w:t>
            </w:r>
            <w:r>
              <w:rPr>
                <w:b/>
                <w:color w:val="000000" w:themeColor="text1"/>
                <w:sz w:val="20"/>
              </w:rPr>
              <w:t xml:space="preserve">  </w:t>
            </w:r>
            <w:r>
              <w:rPr>
                <w:rFonts w:hint="eastAsia"/>
                <w:b/>
                <w:color w:val="000000" w:themeColor="text1"/>
                <w:sz w:val="20"/>
              </w:rPr>
              <w:t xml:space="preserve"> 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通过2020年1月-2020年5月目标的测量，总体已达到或超过了规定的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9" w:hRule="atLeast"/>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ind w:left="100" w:hanging="100" w:hangingChars="50"/>
              <w:rPr>
                <w:b/>
                <w:color w:val="000000" w:themeColor="text1"/>
                <w:sz w:val="20"/>
              </w:rPr>
            </w:pPr>
            <w:r>
              <w:rPr>
                <w:rFonts w:hint="eastAsia"/>
                <w:b/>
                <w:color w:val="000000" w:themeColor="text1"/>
                <w:sz w:val="20"/>
              </w:rPr>
              <w:t>2.顾客满意</w:t>
            </w:r>
          </w:p>
          <w:p>
            <w:pPr>
              <w:spacing w:line="240" w:lineRule="exact"/>
              <w:ind w:left="100" w:hanging="100" w:hangingChars="50"/>
              <w:rPr>
                <w:b/>
                <w:color w:val="000000" w:themeColor="text1"/>
                <w:sz w:val="20"/>
              </w:rPr>
            </w:pPr>
          </w:p>
          <w:p>
            <w:pPr>
              <w:spacing w:line="240" w:lineRule="exact"/>
              <w:ind w:left="100" w:hanging="100" w:hangingChars="50"/>
              <w:rPr>
                <w:b/>
                <w:color w:val="000000" w:themeColor="text1"/>
                <w:sz w:val="20"/>
              </w:rPr>
            </w:pPr>
            <w:r>
              <w:rPr>
                <w:rFonts w:hint="eastAsia"/>
                <w:b/>
                <w:color w:val="000000" w:themeColor="text1"/>
                <w:sz w:val="20"/>
              </w:rPr>
              <w:t xml:space="preserve"> </w:t>
            </w:r>
            <w:r>
              <w:rPr>
                <w:b/>
                <w:color w:val="000000" w:themeColor="text1"/>
                <w:sz w:val="20"/>
              </w:rPr>
              <w:t xml:space="preserve">   </w:t>
            </w:r>
            <w:r>
              <w:rPr>
                <w:rFonts w:hint="eastAsia"/>
                <w:b/>
                <w:color w:val="000000" w:themeColor="text1"/>
                <w:sz w:val="20"/>
              </w:rPr>
              <w:t>能稳定向顾客提供较满意的销售服务。对顾客进行满意度调查，并进行了简要分析。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5" w:hRule="atLeast"/>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rPr>
            </w:pPr>
            <w:r>
              <w:rPr>
                <w:rFonts w:hint="eastAsia"/>
                <w:b/>
                <w:color w:val="000000" w:themeColor="text1"/>
                <w:sz w:val="20"/>
              </w:rPr>
              <w:t>3. 内审（包括内审策划审核方案中考虑拟审核的过程和区域的状况和重要性）</w:t>
            </w:r>
          </w:p>
          <w:p>
            <w:pPr>
              <w:spacing w:line="240" w:lineRule="exact"/>
              <w:rPr>
                <w:b/>
                <w:color w:val="000000" w:themeColor="text1"/>
                <w:spacing w:val="-8"/>
                <w:sz w:val="20"/>
              </w:rPr>
            </w:pPr>
          </w:p>
          <w:p>
            <w:pPr>
              <w:spacing w:line="240" w:lineRule="exact"/>
              <w:rPr>
                <w:b/>
                <w:color w:val="000000" w:themeColor="text1"/>
                <w:sz w:val="20"/>
              </w:rPr>
            </w:pPr>
            <w:r>
              <w:rPr>
                <w:rFonts w:hint="eastAsia"/>
                <w:b/>
                <w:color w:val="000000" w:themeColor="text1"/>
                <w:sz w:val="20"/>
              </w:rPr>
              <w:t xml:space="preserve"> </w:t>
            </w:r>
            <w:r>
              <w:rPr>
                <w:b/>
                <w:color w:val="000000" w:themeColor="text1"/>
                <w:sz w:val="20"/>
              </w:rPr>
              <w:t xml:space="preserve">   </w:t>
            </w:r>
            <w:r>
              <w:rPr>
                <w:rFonts w:hint="eastAsia"/>
                <w:b/>
                <w:color w:val="000000" w:themeColor="text1"/>
                <w:sz w:val="20"/>
              </w:rPr>
              <w:t>本年度内审已按计划实施，内审策划审核方案中考虑了拟审核的过程和区域的状况和重要性，内审时间2019年12月11日，内审结论：体系运行基本有效。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84" w:hRule="atLeast"/>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rPr>
            </w:pPr>
            <w:r>
              <w:rPr>
                <w:rFonts w:hint="eastAsia"/>
                <w:b/>
                <w:color w:val="000000" w:themeColor="text1"/>
                <w:sz w:val="20"/>
              </w:rPr>
              <w:t>4.管理评审（管理评审体系变更需求，纠正和预防措施、体系有效性等）</w:t>
            </w:r>
          </w:p>
          <w:p>
            <w:pPr>
              <w:spacing w:line="240" w:lineRule="exact"/>
              <w:rPr>
                <w:b/>
                <w:color w:val="000000" w:themeColor="text1"/>
                <w:sz w:val="20"/>
              </w:rPr>
            </w:pPr>
          </w:p>
          <w:p>
            <w:pPr>
              <w:spacing w:line="240" w:lineRule="exact"/>
              <w:rPr>
                <w:b/>
                <w:color w:val="000000" w:themeColor="text1"/>
                <w:sz w:val="20"/>
              </w:rPr>
            </w:pPr>
            <w:r>
              <w:rPr>
                <w:rFonts w:hint="eastAsia"/>
                <w:b/>
                <w:color w:val="000000" w:themeColor="text1"/>
                <w:sz w:val="20"/>
              </w:rPr>
              <w:t xml:space="preserve"> </w:t>
            </w:r>
            <w:r>
              <w:rPr>
                <w:b/>
                <w:color w:val="000000" w:themeColor="text1"/>
                <w:sz w:val="20"/>
              </w:rPr>
              <w:t xml:space="preserve">   </w:t>
            </w:r>
            <w:r>
              <w:rPr>
                <w:rFonts w:hint="eastAsia"/>
                <w:b/>
                <w:color w:val="000000" w:themeColor="text1"/>
                <w:sz w:val="20"/>
              </w:rPr>
              <w:t>本年度管理评审已按计划实施，管理评审时间：2019年12月31日，管理评审考虑了体系变更需求，评审了方针有效、适宜和充分。制定了改进措施，体系运行基本有效。</w:t>
            </w:r>
          </w:p>
          <w:p>
            <w:pPr>
              <w:spacing w:line="240" w:lineRule="exact"/>
              <w:rPr>
                <w:b/>
                <w:color w:val="000000" w:themeColor="text1"/>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9" w:hRule="atLeast"/>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rPr>
            </w:pPr>
            <w:r>
              <w:rPr>
                <w:rFonts w:hint="eastAsia"/>
                <w:b/>
                <w:color w:val="000000" w:themeColor="text1"/>
                <w:sz w:val="20"/>
              </w:rPr>
              <w:t>5.  EMS是否按规定对主要污染物（污水、废气、噪声、废渣等）及排放实施了例行的监视或测量，结果是否满足相关要求？</w:t>
            </w:r>
          </w:p>
          <w:p>
            <w:pPr>
              <w:spacing w:line="240" w:lineRule="exact"/>
              <w:rPr>
                <w:b/>
                <w:color w:val="000000" w:themeColor="text1"/>
                <w:sz w:val="20"/>
              </w:rPr>
            </w:pPr>
            <w:r>
              <w:rPr>
                <w:rFonts w:hint="eastAsia"/>
                <w:b/>
                <w:color w:val="000000" w:themeColor="text1"/>
                <w:sz w:val="20"/>
              </w:rPr>
              <w:t xml:space="preserve"> </w:t>
            </w:r>
            <w:r>
              <w:rPr>
                <w:b/>
                <w:color w:val="000000" w:themeColor="text1"/>
                <w:sz w:val="20"/>
              </w:rPr>
              <w:t xml:space="preserve">   </w:t>
            </w:r>
            <w:r>
              <w:rPr>
                <w:rFonts w:hint="eastAsia"/>
                <w:b/>
                <w:color w:val="000000" w:themeColor="text1"/>
                <w:sz w:val="20"/>
              </w:rPr>
              <w:t>该公司主要污染物是固体废弃物，公司定期对防止火灾的灭火器和消防栓等设施协同物业检查有效性及废纸、墨盒等固废运行实施检查，结果基本满足相关要求。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8" w:hRule="atLeast"/>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rPr>
            </w:pPr>
            <w:r>
              <w:rPr>
                <w:rFonts w:hint="eastAsia"/>
                <w:b/>
                <w:color w:val="000000" w:themeColor="text1"/>
                <w:sz w:val="20"/>
              </w:rPr>
              <w:t xml:space="preserve">6.  </w:t>
            </w:r>
            <w:r>
              <w:rPr>
                <w:b/>
                <w:color w:val="000000" w:themeColor="text1"/>
                <w:sz w:val="20"/>
              </w:rPr>
              <w:t>EMS</w:t>
            </w:r>
            <w:r>
              <w:rPr>
                <w:rFonts w:hint="eastAsia"/>
                <w:b/>
                <w:color w:val="000000" w:themeColor="text1"/>
                <w:sz w:val="20"/>
              </w:rPr>
              <w:t xml:space="preserve">国家/地方环保部门监测结果、新改扩建项目符合环评报告、三同时验收报告要求情况及措施 </w:t>
            </w:r>
          </w:p>
          <w:p>
            <w:pPr>
              <w:spacing w:line="240" w:lineRule="exact"/>
              <w:rPr>
                <w:b/>
                <w:color w:val="000000" w:themeColor="text1"/>
                <w:sz w:val="20"/>
              </w:rPr>
            </w:pPr>
          </w:p>
          <w:p>
            <w:pPr>
              <w:spacing w:line="240" w:lineRule="exact"/>
              <w:rPr>
                <w:b/>
                <w:color w:val="000000" w:themeColor="text1"/>
                <w:sz w:val="20"/>
              </w:rPr>
            </w:pPr>
            <w:r>
              <w:rPr>
                <w:rFonts w:hint="eastAsia"/>
                <w:b/>
                <w:color w:val="000000" w:themeColor="text1"/>
                <w:sz w:val="20"/>
              </w:rPr>
              <w:t xml:space="preserve"> </w:t>
            </w:r>
            <w:r>
              <w:rPr>
                <w:b/>
                <w:color w:val="000000" w:themeColor="text1"/>
                <w:sz w:val="20"/>
              </w:rPr>
              <w:t xml:space="preserve">   </w:t>
            </w:r>
            <w:r>
              <w:rPr>
                <w:rFonts w:hint="eastAsia"/>
                <w:b/>
                <w:color w:val="000000" w:themeColor="text1"/>
                <w:sz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8" w:hRule="atLeast"/>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z w:val="20"/>
              </w:rPr>
            </w:pPr>
            <w:r>
              <w:rPr>
                <w:rFonts w:hint="eastAsia"/>
                <w:b/>
                <w:color w:val="000000" w:themeColor="text1"/>
                <w:sz w:val="20"/>
              </w:rPr>
              <w:t>7. OHSMS是否按规定对职业健康安全项目进行定期测量，结果是否满足相关要求：</w:t>
            </w:r>
          </w:p>
          <w:p>
            <w:pPr>
              <w:spacing w:line="300" w:lineRule="exact"/>
              <w:rPr>
                <w:b/>
                <w:color w:val="000000" w:themeColor="text1"/>
                <w:sz w:val="20"/>
              </w:rPr>
            </w:pPr>
          </w:p>
          <w:p>
            <w:pPr>
              <w:spacing w:line="240" w:lineRule="exact"/>
              <w:rPr>
                <w:b/>
                <w:color w:val="000000" w:themeColor="text1"/>
                <w:sz w:val="20"/>
              </w:rPr>
            </w:pPr>
            <w:r>
              <w:rPr>
                <w:rFonts w:hint="eastAsia"/>
                <w:b/>
                <w:color w:val="000000" w:themeColor="text1"/>
                <w:sz w:val="20"/>
              </w:rPr>
              <w:t xml:space="preserve"> </w:t>
            </w:r>
            <w:r>
              <w:rPr>
                <w:b/>
                <w:color w:val="000000" w:themeColor="text1"/>
                <w:sz w:val="20"/>
              </w:rPr>
              <w:t xml:space="preserve">   </w:t>
            </w:r>
            <w:r>
              <w:rPr>
                <w:rFonts w:hint="eastAsia"/>
                <w:b/>
                <w:color w:val="000000" w:themeColor="text1"/>
                <w:sz w:val="20"/>
              </w:rPr>
              <w:t>公司定期对职业健康安全管理体系运行进行检查，结果基本满足相关要求。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rPr>
            </w:pPr>
            <w:r>
              <w:rPr>
                <w:rFonts w:hint="eastAsia"/>
                <w:b/>
                <w:color w:val="000000" w:themeColor="text1"/>
                <w:sz w:val="20"/>
              </w:rPr>
              <w:t>8.OHSMS国家/地方职业健康安全部门监督检查情况及措施</w:t>
            </w:r>
          </w:p>
          <w:p>
            <w:pPr>
              <w:spacing w:line="240" w:lineRule="exact"/>
              <w:rPr>
                <w:b/>
                <w:color w:val="000000" w:themeColor="text1"/>
                <w:sz w:val="20"/>
              </w:rPr>
            </w:pPr>
          </w:p>
          <w:p>
            <w:pPr>
              <w:spacing w:line="240" w:lineRule="exact"/>
              <w:rPr>
                <w:b/>
                <w:color w:val="000000" w:themeColor="text1"/>
                <w:sz w:val="20"/>
              </w:rPr>
            </w:pPr>
            <w:r>
              <w:rPr>
                <w:rFonts w:hint="eastAsia"/>
                <w:b/>
                <w:color w:val="000000" w:themeColor="text1"/>
                <w:sz w:val="20"/>
              </w:rPr>
              <w:t xml:space="preserve"> </w:t>
            </w:r>
            <w:r>
              <w:rPr>
                <w:b/>
                <w:color w:val="000000" w:themeColor="text1"/>
                <w:sz w:val="20"/>
              </w:rPr>
              <w:t xml:space="preserve">   </w:t>
            </w:r>
            <w:r>
              <w:rPr>
                <w:rFonts w:hint="eastAsia"/>
                <w:b/>
                <w:color w:val="000000" w:themeColor="text1"/>
                <w:sz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trPr>
        <w:tc>
          <w:tcPr>
            <w:tcW w:w="720" w:type="dxa"/>
            <w:vMerge w:val="continue"/>
            <w:tcBorders>
              <w:bottom w:val="single" w:color="auto" w:sz="4" w:space="0"/>
            </w:tcBorders>
            <w:vAlign w:val="center"/>
          </w:tcPr>
          <w:p>
            <w:pPr>
              <w:spacing w:line="240" w:lineRule="exact"/>
              <w:jc w:val="center"/>
              <w:rPr>
                <w:b/>
                <w:color w:val="000000" w:themeColor="text1"/>
                <w:sz w:val="20"/>
              </w:rPr>
            </w:pPr>
          </w:p>
        </w:tc>
        <w:tc>
          <w:tcPr>
            <w:tcW w:w="9198" w:type="dxa"/>
            <w:tcBorders>
              <w:bottom w:val="single" w:color="auto" w:sz="4" w:space="0"/>
            </w:tcBorders>
          </w:tcPr>
          <w:p>
            <w:pPr>
              <w:widowControl/>
              <w:spacing w:line="240" w:lineRule="exact"/>
              <w:rPr>
                <w:b/>
                <w:color w:val="000000" w:themeColor="text1"/>
                <w:sz w:val="20"/>
              </w:rPr>
            </w:pPr>
            <w:r>
              <w:rPr>
                <w:rFonts w:hint="eastAsia"/>
                <w:b/>
                <w:color w:val="000000" w:themeColor="text1"/>
                <w:sz w:val="20"/>
              </w:rPr>
              <w:t>9. 其他能够标明组织绩效、信誉的证据/信息：</w:t>
            </w:r>
          </w:p>
          <w:p>
            <w:pPr>
              <w:widowControl/>
              <w:spacing w:line="240" w:lineRule="exact"/>
              <w:rPr>
                <w:b/>
                <w:color w:val="000000" w:themeColor="text1"/>
                <w:sz w:val="20"/>
              </w:rPr>
            </w:pPr>
            <w:r>
              <w:rPr>
                <w:rFonts w:hint="eastAsia"/>
                <w:b/>
                <w:color w:val="000000" w:themeColor="text1"/>
                <w:sz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3" w:hRule="atLeast"/>
        </w:trPr>
        <w:tc>
          <w:tcPr>
            <w:tcW w:w="720" w:type="dxa"/>
            <w:vMerge w:val="restart"/>
            <w:vAlign w:val="center"/>
          </w:tcPr>
          <w:p>
            <w:pPr>
              <w:spacing w:line="240" w:lineRule="exact"/>
              <w:ind w:left="113"/>
              <w:jc w:val="center"/>
              <w:rPr>
                <w:b/>
                <w:color w:val="000000" w:themeColor="text1"/>
                <w:sz w:val="20"/>
              </w:rPr>
            </w:pPr>
            <w:r>
              <w:rPr>
                <w:rFonts w:hint="eastAsia"/>
                <w:b/>
                <w:color w:val="000000" w:themeColor="text1"/>
                <w:sz w:val="20"/>
              </w:rPr>
              <w:t>(五)持续改进</w:t>
            </w: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rPr>
            </w:pPr>
            <w:r>
              <w:rPr>
                <w:rFonts w:hint="eastAsia"/>
                <w:b/>
                <w:color w:val="000000" w:themeColor="text1"/>
                <w:sz w:val="20"/>
              </w:rPr>
              <w:t>1 纠正/预防措施的实施及效果</w:t>
            </w:r>
            <w:r>
              <w:rPr>
                <w:rFonts w:hint="eastAsia"/>
                <w:b/>
                <w:color w:val="000000" w:themeColor="text1"/>
                <w:spacing w:val="-8"/>
                <w:sz w:val="20"/>
              </w:rPr>
              <w:t>;</w:t>
            </w:r>
          </w:p>
          <w:p>
            <w:pPr>
              <w:spacing w:line="240" w:lineRule="exact"/>
              <w:rPr>
                <w:b/>
                <w:color w:val="000000" w:themeColor="text1"/>
                <w:sz w:val="20"/>
              </w:rPr>
            </w:pPr>
            <w:r>
              <w:rPr>
                <w:rFonts w:hint="eastAsia"/>
                <w:b/>
                <w:color w:val="000000" w:themeColor="text1"/>
                <w:sz w:val="20"/>
              </w:rPr>
              <w:t xml:space="preserve"> </w:t>
            </w:r>
            <w:r>
              <w:rPr>
                <w:b/>
                <w:color w:val="000000" w:themeColor="text1"/>
                <w:sz w:val="20"/>
              </w:rPr>
              <w:t xml:space="preserve">   </w:t>
            </w:r>
          </w:p>
          <w:p>
            <w:pPr>
              <w:spacing w:line="240" w:lineRule="exact"/>
              <w:rPr>
                <w:b/>
                <w:color w:val="000000" w:themeColor="text1"/>
                <w:sz w:val="20"/>
              </w:rPr>
            </w:pPr>
            <w:r>
              <w:rPr>
                <w:rFonts w:hint="eastAsia"/>
                <w:b/>
                <w:color w:val="000000" w:themeColor="text1"/>
                <w:sz w:val="20"/>
              </w:rPr>
              <w:t xml:space="preserve"> </w:t>
            </w:r>
            <w:r>
              <w:rPr>
                <w:b/>
                <w:color w:val="000000" w:themeColor="text1"/>
                <w:sz w:val="20"/>
              </w:rPr>
              <w:t xml:space="preserve">   </w:t>
            </w:r>
            <w:r>
              <w:rPr>
                <w:rFonts w:hint="eastAsia"/>
                <w:b/>
                <w:color w:val="000000" w:themeColor="text1"/>
                <w:sz w:val="20"/>
              </w:rPr>
              <w:t>对内审发现的不合格进行了分析、制定了纠正措施，实施了整改，对整改效果进行了追踪验证，结论合格，对不合格品可以进行有效控制。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7" w:hRule="atLeast"/>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pacing w:val="-20"/>
                <w:sz w:val="20"/>
              </w:rPr>
            </w:pPr>
            <w:r>
              <w:rPr>
                <w:rFonts w:hint="eastAsia"/>
                <w:b/>
                <w:color w:val="000000" w:themeColor="text1"/>
                <w:spacing w:val="-20"/>
                <w:sz w:val="20"/>
              </w:rPr>
              <w:t>2（近一年）重大事故、顾客/相关方投诉：：</w:t>
            </w:r>
          </w:p>
          <w:p>
            <w:pPr>
              <w:spacing w:line="240" w:lineRule="exact"/>
              <w:rPr>
                <w:b/>
                <w:color w:val="000000" w:themeColor="text1"/>
                <w:spacing w:val="-20"/>
                <w:sz w:val="20"/>
              </w:rPr>
            </w:pPr>
          </w:p>
          <w:p>
            <w:pPr>
              <w:spacing w:line="240" w:lineRule="exact"/>
              <w:rPr>
                <w:b/>
                <w:color w:val="000000" w:themeColor="text1"/>
                <w:sz w:val="20"/>
              </w:rPr>
            </w:pPr>
            <w:r>
              <w:rPr>
                <w:rFonts w:hint="eastAsia"/>
                <w:b/>
                <w:color w:val="000000" w:themeColor="text1"/>
                <w:sz w:val="20"/>
              </w:rPr>
              <w:t xml:space="preserve"> </w:t>
            </w:r>
            <w:r>
              <w:rPr>
                <w:b/>
                <w:color w:val="000000" w:themeColor="text1"/>
                <w:sz w:val="20"/>
              </w:rPr>
              <w:t xml:space="preserve">   </w:t>
            </w:r>
            <w:r>
              <w:rPr>
                <w:rFonts w:hint="eastAsia"/>
                <w:b/>
                <w:color w:val="000000" w:themeColor="text1"/>
                <w:sz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atLeast"/>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rPr>
            </w:pPr>
            <w:r>
              <w:rPr>
                <w:rFonts w:hint="eastAsia"/>
                <w:b/>
                <w:color w:val="000000" w:themeColor="text1"/>
                <w:sz w:val="20"/>
              </w:rPr>
              <w:t>3. 一阶段提出问题的整改情况?</w:t>
            </w:r>
          </w:p>
          <w:p>
            <w:pPr>
              <w:spacing w:line="240" w:lineRule="exact"/>
              <w:rPr>
                <w:b/>
                <w:color w:val="000000" w:themeColor="text1"/>
                <w:spacing w:val="-20"/>
                <w:sz w:val="20"/>
              </w:rPr>
            </w:pPr>
            <w:r>
              <w:rPr>
                <w:rFonts w:hint="eastAsia"/>
                <w:b/>
                <w:color w:val="000000" w:themeColor="text1"/>
                <w:spacing w:val="-20"/>
                <w:sz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rPr>
            </w:pPr>
            <w:r>
              <w:rPr>
                <w:rFonts w:hint="eastAsia"/>
                <w:b/>
                <w:color w:val="000000" w:themeColor="text1"/>
                <w:sz w:val="20"/>
              </w:rPr>
              <w:t>4.创新情况</w:t>
            </w:r>
          </w:p>
          <w:p>
            <w:pPr>
              <w:spacing w:line="240" w:lineRule="exact"/>
              <w:rPr>
                <w:b/>
                <w:color w:val="000000" w:themeColor="text1"/>
                <w:sz w:val="20"/>
              </w:rPr>
            </w:pPr>
            <w:r>
              <w:rPr>
                <w:rFonts w:hint="eastAsia"/>
                <w:b/>
                <w:color w:val="000000" w:themeColor="text1"/>
                <w:sz w:val="20"/>
              </w:rPr>
              <w:t xml:space="preserve">    无创新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rPr>
            </w:pPr>
            <w:r>
              <w:rPr>
                <w:rFonts w:hint="eastAsia"/>
                <w:b/>
                <w:color w:val="000000" w:themeColor="text1"/>
                <w:sz w:val="20"/>
              </w:rPr>
              <w:t>上次不符合的整改情况（再认证填写）</w:t>
            </w:r>
          </w:p>
          <w:p>
            <w:pPr>
              <w:spacing w:line="240" w:lineRule="exact"/>
              <w:rPr>
                <w:b/>
                <w:color w:val="000000" w:themeColor="text1"/>
                <w:sz w:val="20"/>
              </w:rPr>
            </w:pPr>
            <w:r>
              <w:rPr>
                <w:rFonts w:hint="eastAsia"/>
                <w:b/>
                <w:color w:val="000000" w:themeColor="text1"/>
                <w:sz w:val="20"/>
              </w:rPr>
              <w:t>上次不符合项8.2，本次验证已整改，不存在不符合现象。</w:t>
            </w:r>
          </w:p>
        </w:tc>
      </w:tr>
    </w:tbl>
    <w:p>
      <w:pPr>
        <w:tabs>
          <w:tab w:val="left" w:pos="645"/>
        </w:tabs>
        <w:spacing w:afterLines="50" w:line="360" w:lineRule="exact"/>
        <w:rPr>
          <w:b/>
          <w:sz w:val="26"/>
          <w:szCs w:val="26"/>
        </w:rPr>
      </w:pPr>
    </w:p>
    <w:p>
      <w:pPr>
        <w:tabs>
          <w:tab w:val="left" w:pos="645"/>
        </w:tabs>
        <w:spacing w:afterLines="50" w:line="360" w:lineRule="exact"/>
        <w:rPr>
          <w:b/>
          <w:sz w:val="16"/>
          <w:szCs w:val="16"/>
        </w:rPr>
      </w:pPr>
      <w:r>
        <w:rPr>
          <w:rFonts w:hint="eastAsia"/>
          <w:b/>
          <w:sz w:val="26"/>
          <w:szCs w:val="26"/>
        </w:rPr>
        <w:t>七、其它需要说明的问题</w:t>
      </w:r>
    </w:p>
    <w:p>
      <w:pPr>
        <w:snapToGrid w:val="0"/>
        <w:spacing w:line="360" w:lineRule="auto"/>
        <w:ind w:left="-211" w:leftChars="-88" w:firstLine="493" w:firstLineChars="223"/>
        <w:rPr>
          <w:rFonts w:hint="eastAsia" w:ascii="宋体" w:eastAsia="宋体"/>
          <w:b/>
          <w:szCs w:val="21"/>
          <w:lang w:val="en-US" w:eastAsia="zh-CN"/>
        </w:rPr>
      </w:pPr>
      <w:r>
        <w:rPr>
          <w:rFonts w:hint="eastAsia" w:ascii="宋体" w:hAnsi="宋体" w:eastAsia="宋体" w:cs="宋体"/>
          <w:b/>
          <w:spacing w:val="-10"/>
          <w:szCs w:val="21"/>
        </w:rPr>
        <w:t>■</w:t>
      </w:r>
      <w:r>
        <w:rPr>
          <w:rFonts w:hint="eastAsia" w:ascii="宋体" w:hAnsi="宋体"/>
          <w:b/>
          <w:szCs w:val="21"/>
        </w:rPr>
        <w:t>可能影响本次审核结论可靠性的因素：</w:t>
      </w:r>
      <w:r>
        <w:rPr>
          <w:rFonts w:hint="eastAsia" w:ascii="宋体" w:hAnsi="宋体"/>
          <w:b/>
          <w:szCs w:val="21"/>
          <w:lang w:val="en-US" w:eastAsia="zh-CN"/>
        </w:rPr>
        <w:t>无</w:t>
      </w:r>
    </w:p>
    <w:tbl>
      <w:tblPr>
        <w:tblStyle w:val="6"/>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3"/>
        <w:gridCol w:w="4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537" w:firstLineChars="223"/>
              <w:rPr>
                <w:b/>
                <w:spacing w:val="-10"/>
                <w:szCs w:val="21"/>
              </w:rPr>
            </w:pPr>
            <w:r>
              <w:rPr>
                <w:rFonts w:hint="eastAsia" w:ascii="宋体" w:hAnsi="宋体"/>
                <w:b/>
                <w:szCs w:val="21"/>
              </w:rPr>
              <w:t>影响本次审核结论可靠性的因素</w:t>
            </w:r>
          </w:p>
        </w:tc>
        <w:tc>
          <w:tcPr>
            <w:tcW w:w="4712" w:type="dxa"/>
          </w:tcPr>
          <w:p>
            <w:pPr>
              <w:snapToGrid w:val="0"/>
              <w:spacing w:line="360" w:lineRule="auto"/>
              <w:ind w:left="-211" w:leftChars="-88" w:firstLine="537" w:firstLineChars="223"/>
              <w:rPr>
                <w:rFonts w:ascii="宋体"/>
                <w:b/>
                <w:szCs w:val="21"/>
              </w:rPr>
            </w:pPr>
            <w:r>
              <w:rPr>
                <w:rFonts w:hint="eastAsia" w:ascii="宋体" w:hAnsi="宋体"/>
                <w:b/>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szCs w:val="21"/>
              </w:rPr>
            </w:pPr>
            <w:r>
              <w:rPr>
                <w:rFonts w:hint="eastAsia"/>
                <w:b/>
                <w:spacing w:val="-10"/>
                <w:szCs w:val="21"/>
              </w:rPr>
              <w:t>□</w:t>
            </w:r>
            <w:r>
              <w:rPr>
                <w:rFonts w:hint="eastAsia" w:ascii="宋体" w:hAnsi="宋体"/>
                <w:b/>
                <w:szCs w:val="21"/>
              </w:rPr>
              <w:t>样本量不足</w:t>
            </w:r>
          </w:p>
        </w:tc>
        <w:tc>
          <w:tcPr>
            <w:tcW w:w="4712" w:type="dxa"/>
          </w:tcPr>
          <w:p>
            <w:pPr>
              <w:snapToGrid w:val="0"/>
              <w:spacing w:line="360" w:lineRule="auto"/>
              <w:ind w:left="-211" w:leftChars="-88" w:firstLine="537" w:firstLineChars="223"/>
              <w:rPr>
                <w:rFonts w:asci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知识产权保护</w:t>
            </w:r>
          </w:p>
        </w:tc>
        <w:tc>
          <w:tcPr>
            <w:tcW w:w="4712" w:type="dxa"/>
          </w:tcPr>
          <w:p>
            <w:pPr>
              <w:snapToGrid w:val="0"/>
              <w:spacing w:line="360" w:lineRule="auto"/>
              <w:ind w:left="-211" w:leftChars="-88" w:firstLine="537" w:firstLineChars="223"/>
              <w:rPr>
                <w:rFonts w:ascii="宋体"/>
                <w:b/>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因受审核方信息造成的日数或审核资源不足</w:t>
            </w:r>
          </w:p>
        </w:tc>
        <w:tc>
          <w:tcPr>
            <w:tcW w:w="4712" w:type="dxa"/>
          </w:tcPr>
          <w:p>
            <w:pPr>
              <w:snapToGrid w:val="0"/>
              <w:spacing w:line="360" w:lineRule="auto"/>
              <w:ind w:left="-211" w:leftChars="-88" w:firstLine="537" w:firstLineChars="223"/>
              <w:rPr>
                <w:rFonts w:ascii="宋体"/>
                <w:b/>
                <w:color w:val="FF0000"/>
                <w:szCs w:val="21"/>
              </w:rPr>
            </w:pPr>
          </w:p>
        </w:tc>
      </w:tr>
    </w:tbl>
    <w:p>
      <w:pPr>
        <w:snapToGrid w:val="0"/>
        <w:spacing w:line="360" w:lineRule="auto"/>
        <w:rPr>
          <w:rFonts w:ascii="宋体"/>
          <w:b/>
          <w:szCs w:val="21"/>
        </w:rPr>
      </w:pPr>
      <w:r>
        <w:rPr>
          <w:rFonts w:hint="eastAsia" w:ascii="宋体" w:hAnsi="宋体"/>
          <w:b/>
          <w:color w:val="000000" w:themeColor="text1"/>
          <w:szCs w:val="21"/>
        </w:rPr>
        <w:t>■</w:t>
      </w:r>
      <w:r>
        <w:rPr>
          <w:rFonts w:hint="eastAsia" w:ascii="宋体" w:hAnsi="宋体"/>
          <w:b/>
          <w:szCs w:val="21"/>
        </w:rPr>
        <w:t>达到审核目的</w:t>
      </w:r>
    </w:p>
    <w:p>
      <w:pPr>
        <w:snapToGrid w:val="0"/>
        <w:spacing w:line="360" w:lineRule="auto"/>
        <w:rPr>
          <w:rFonts w:ascii="宋体"/>
          <w:b/>
          <w:szCs w:val="21"/>
        </w:rPr>
      </w:pPr>
      <w:r>
        <w:rPr>
          <w:rFonts w:hint="eastAsia"/>
          <w:b/>
          <w:spacing w:val="-10"/>
          <w:szCs w:val="21"/>
        </w:rPr>
        <w:t>□未</w:t>
      </w:r>
      <w:r>
        <w:rPr>
          <w:rFonts w:hint="eastAsia" w:ascii="宋体" w:hAnsi="宋体"/>
          <w:b/>
          <w:szCs w:val="21"/>
        </w:rPr>
        <w:t>达到审核目的，未达到目的的原因是：</w:t>
      </w:r>
    </w:p>
    <w:p>
      <w:pPr>
        <w:tabs>
          <w:tab w:val="left" w:pos="645"/>
        </w:tabs>
        <w:spacing w:beforeLines="50" w:afterLines="50" w:line="360" w:lineRule="exact"/>
        <w:rPr>
          <w:b/>
          <w:sz w:val="16"/>
          <w:szCs w:val="16"/>
        </w:rPr>
      </w:pPr>
      <w:r>
        <w:rPr>
          <w:rFonts w:hint="eastAsia"/>
          <w:b/>
          <w:sz w:val="26"/>
          <w:szCs w:val="26"/>
        </w:rPr>
        <w:t>八、本次审核不符合项</w:t>
      </w:r>
    </w:p>
    <w:p>
      <w:pPr>
        <w:spacing w:line="400" w:lineRule="exact"/>
        <w:ind w:left="420" w:leftChars="175" w:firstLine="101" w:firstLineChars="42"/>
        <w:rPr>
          <w:rFonts w:ascii="宋体" w:hAnsi="宋体"/>
          <w:b/>
          <w:szCs w:val="21"/>
        </w:rPr>
      </w:pPr>
      <w:r>
        <w:rPr>
          <w:rFonts w:hint="eastAsia" w:ascii="宋体" w:hAnsi="宋体"/>
          <w:b/>
          <w:szCs w:val="21"/>
        </w:rPr>
        <w:t>本次审核共开具不符合项报告1项；其中</w:t>
      </w:r>
      <w:r>
        <w:rPr>
          <w:rFonts w:ascii="宋体" w:hAnsi="宋体"/>
          <w:b/>
          <w:szCs w:val="21"/>
        </w:rPr>
        <w:pict>
          <v:line id="直接连接符 1" o:spid="_x0000_s1030" o:spt="20" style="position:absolute;left:0pt;margin-left:210pt;margin-top:16.2pt;height:0pt;width:0.05pt;z-index:251662336;mso-width-relative:page;mso-height-relative:page;" coordsize="21600,21600" o:allowincell="f">
            <v:path arrowok="t"/>
            <v:fill focussize="0,0"/>
            <v:stroke/>
            <v:imagedata o:title=""/>
            <o:lock v:ext="edit"/>
          </v:line>
        </w:pict>
      </w:r>
      <w:r>
        <w:rPr>
          <w:rFonts w:hint="eastAsia" w:ascii="宋体" w:hAnsi="宋体"/>
          <w:b/>
          <w:szCs w:val="21"/>
        </w:rPr>
        <w:t>严重不符合0项，一般不符合1项，观察项</w:t>
      </w:r>
      <w:r>
        <w:rPr>
          <w:rFonts w:hint="eastAsia" w:ascii="宋体" w:hAnsi="宋体"/>
          <w:b/>
          <w:szCs w:val="21"/>
          <w:lang w:val="en-US" w:eastAsia="zh-CN"/>
        </w:rPr>
        <w:t>0</w:t>
      </w:r>
      <w:r>
        <w:rPr>
          <w:rFonts w:hint="eastAsia" w:ascii="宋体" w:hAnsi="宋体"/>
          <w:b/>
          <w:szCs w:val="21"/>
        </w:rPr>
        <w:t>项分布在</w:t>
      </w:r>
      <w:r>
        <w:rPr>
          <w:rFonts w:hint="eastAsia" w:ascii="宋体" w:hAnsi="宋体"/>
          <w:b/>
          <w:szCs w:val="21"/>
          <w:lang w:val="en-US" w:eastAsia="zh-CN"/>
        </w:rPr>
        <w:t>市场部</w:t>
      </w:r>
      <w:r>
        <w:rPr>
          <w:rFonts w:hint="eastAsia" w:ascii="宋体" w:hAnsi="宋体"/>
          <w:b/>
          <w:szCs w:val="21"/>
        </w:rPr>
        <w:t>部门</w:t>
      </w:r>
      <w:r>
        <w:rPr>
          <w:rFonts w:hint="eastAsia" w:ascii="宋体" w:hAnsi="宋体"/>
          <w:b/>
          <w:szCs w:val="21"/>
          <w:lang w:val="en-US" w:eastAsia="zh-CN"/>
        </w:rPr>
        <w:t>8.5.1</w:t>
      </w:r>
      <w:r>
        <w:rPr>
          <w:rFonts w:hint="eastAsia" w:ascii="宋体" w:hAnsi="宋体"/>
          <w:b/>
          <w:szCs w:val="21"/>
        </w:rPr>
        <w:t>条款，见不符合项分布表。（</w:t>
      </w:r>
      <w:r>
        <w:rPr>
          <w:rFonts w:ascii="宋体" w:hAnsi="宋体"/>
          <w:b/>
          <w:szCs w:val="21"/>
        </w:rPr>
        <w:t>Q/J/E/S</w:t>
      </w:r>
      <w:r>
        <w:rPr>
          <w:rFonts w:hint="eastAsia" w:ascii="宋体" w:hAnsi="宋体"/>
          <w:b/>
          <w:szCs w:val="21"/>
        </w:rPr>
        <w:t>分开填写）</w:t>
      </w:r>
    </w:p>
    <w:p>
      <w:pPr>
        <w:tabs>
          <w:tab w:val="left" w:pos="645"/>
        </w:tabs>
        <w:spacing w:afterLines="50" w:line="360" w:lineRule="exact"/>
        <w:rPr>
          <w:b/>
          <w:sz w:val="16"/>
          <w:szCs w:val="16"/>
        </w:rPr>
      </w:pPr>
      <w:r>
        <w:rPr>
          <w:rFonts w:hint="eastAsia"/>
          <w:b/>
          <w:sz w:val="26"/>
          <w:szCs w:val="26"/>
        </w:rPr>
        <w:t>九、审核结论</w:t>
      </w:r>
    </w:p>
    <w:tbl>
      <w:tblPr>
        <w:tblStyle w:val="6"/>
        <w:tblW w:w="95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523" w:type="dxa"/>
            <w:vAlign w:val="center"/>
          </w:tcPr>
          <w:p>
            <w:pPr>
              <w:ind w:left="240" w:leftChars="100" w:firstLine="120" w:firstLineChars="50"/>
              <w:jc w:val="left"/>
              <w:rPr>
                <w:rFonts w:ascii="宋体" w:hAnsi="宋体"/>
                <w:b/>
                <w:szCs w:val="21"/>
              </w:rPr>
            </w:pPr>
            <w:r>
              <w:rPr>
                <w:rFonts w:ascii="宋体" w:hAnsi="宋体"/>
                <w:b/>
                <w:szCs w:val="21"/>
              </w:rPr>
              <w:t>1.</w:t>
            </w:r>
            <w:r>
              <w:rPr>
                <w:rFonts w:hint="eastAsia" w:ascii="宋体" w:hAnsi="宋体"/>
                <w:b/>
                <w:color w:val="000000" w:themeColor="text1"/>
                <w:szCs w:val="21"/>
              </w:rPr>
              <w:t>■</w:t>
            </w:r>
            <w:r>
              <w:rPr>
                <w:rFonts w:ascii="宋体" w:hAnsi="宋体"/>
                <w:b/>
                <w:szCs w:val="21"/>
              </w:rPr>
              <w:t>QMS</w:t>
            </w:r>
            <w:r>
              <w:rPr>
                <w:rFonts w:hint="eastAsia" w:ascii="宋体" w:hAnsi="宋体"/>
                <w:b/>
                <w:szCs w:val="21"/>
              </w:rPr>
              <w:t>□50430</w:t>
            </w:r>
            <w:r>
              <w:rPr>
                <w:rFonts w:hint="eastAsia" w:ascii="宋体" w:hAnsi="宋体"/>
                <w:b/>
                <w:color w:val="000000" w:themeColor="text1"/>
                <w:szCs w:val="21"/>
              </w:rPr>
              <w:t>■</w:t>
            </w:r>
            <w:r>
              <w:rPr>
                <w:rFonts w:ascii="宋体" w:hAnsi="宋体"/>
                <w:b/>
                <w:szCs w:val="21"/>
              </w:rPr>
              <w:t xml:space="preserve">EMS  </w:t>
            </w:r>
            <w:r>
              <w:rPr>
                <w:rFonts w:hint="eastAsia" w:ascii="宋体" w:hAnsi="宋体"/>
                <w:b/>
                <w:color w:val="000000" w:themeColor="text1"/>
                <w:szCs w:val="21"/>
              </w:rPr>
              <w:t>■</w:t>
            </w:r>
            <w:r>
              <w:rPr>
                <w:rFonts w:ascii="宋体" w:hAnsi="宋体"/>
                <w:b/>
                <w:szCs w:val="21"/>
              </w:rPr>
              <w:t>OHSMS</w:t>
            </w:r>
          </w:p>
          <w:p>
            <w:pPr>
              <w:spacing w:line="280" w:lineRule="exact"/>
              <w:rPr>
                <w:rFonts w:ascii="宋体" w:hAnsi="宋体"/>
                <w:b/>
                <w:szCs w:val="21"/>
              </w:rPr>
            </w:pPr>
            <w:r>
              <w:rPr>
                <w:rFonts w:hint="eastAsia" w:ascii="宋体" w:hAnsi="宋体"/>
                <w:b/>
                <w:szCs w:val="21"/>
              </w:rPr>
              <w:t>的适宜性、充分性、运行有效性，自我完善机制等，管理体系满足适用要求和实现预期结果的能力。</w:t>
            </w:r>
          </w:p>
          <w:p>
            <w:pPr>
              <w:spacing w:line="280" w:lineRule="exact"/>
              <w:ind w:left="331" w:leftChars="88" w:hanging="120" w:hangingChars="50"/>
              <w:rPr>
                <w:rFonts w:ascii="宋体" w:hAnsi="宋体"/>
                <w:b/>
                <w:szCs w:val="21"/>
              </w:rPr>
            </w:pPr>
            <w:r>
              <w:rPr>
                <w:rFonts w:ascii="宋体" w:hAnsi="宋体"/>
                <w:b/>
                <w:szCs w:val="21"/>
              </w:rPr>
              <w:t>(</w:t>
            </w:r>
            <w:r>
              <w:rPr>
                <w:rFonts w:hint="eastAsia" w:ascii="宋体" w:hAnsi="宋体"/>
                <w:b/>
                <w:szCs w:val="21"/>
              </w:rPr>
              <w:t>描述组织的管理体系在认证周期内持续对过程控制的情况，持续满足标准要求和目标方面的有效性，向顾客提供稳定、合格产品，满足适用的环境</w:t>
            </w:r>
            <w:r>
              <w:rPr>
                <w:rFonts w:ascii="宋体" w:hAnsi="宋体"/>
                <w:b/>
                <w:szCs w:val="21"/>
              </w:rPr>
              <w:t>/</w:t>
            </w:r>
            <w:r>
              <w:rPr>
                <w:rFonts w:hint="eastAsia" w:ascii="宋体" w:hAnsi="宋体"/>
                <w:b/>
                <w:szCs w:val="21"/>
              </w:rPr>
              <w:t>职业健康安全法规、防止污染、重大事故和持续改进而策划的活动的情况；扩大范围部分体系运行情况</w:t>
            </w:r>
            <w:r>
              <w:rPr>
                <w:rFonts w:ascii="宋体" w:hAnsi="宋体"/>
                <w:b/>
                <w:szCs w:val="21"/>
              </w:rPr>
              <w:t>)</w:t>
            </w:r>
          </w:p>
          <w:p>
            <w:pPr>
              <w:spacing w:line="240" w:lineRule="exact"/>
              <w:rPr>
                <w:rFonts w:ascii="宋体" w:hAnsi="宋体"/>
                <w:b/>
                <w:szCs w:val="21"/>
              </w:rPr>
            </w:pPr>
          </w:p>
          <w:p>
            <w:pPr>
              <w:spacing w:line="240" w:lineRule="exact"/>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523" w:type="dxa"/>
          </w:tcPr>
          <w:p>
            <w:pPr>
              <w:spacing w:line="280" w:lineRule="exact"/>
              <w:rPr>
                <w:rFonts w:ascii="宋体" w:hAnsi="宋体"/>
                <w:b/>
                <w:szCs w:val="21"/>
              </w:rPr>
            </w:pPr>
            <w:r>
              <w:rPr>
                <w:rFonts w:ascii="宋体" w:hAnsi="宋体"/>
                <w:b/>
                <w:szCs w:val="21"/>
              </w:rPr>
              <w:t xml:space="preserve">2. </w:t>
            </w:r>
            <w:r>
              <w:rPr>
                <w:rFonts w:hint="eastAsia" w:ascii="宋体" w:hAnsi="宋体"/>
                <w:b/>
                <w:szCs w:val="21"/>
              </w:rPr>
              <w:t>审核组推荐意见：</w:t>
            </w:r>
          </w:p>
          <w:p>
            <w:pPr>
              <w:spacing w:line="280" w:lineRule="exact"/>
              <w:ind w:firstLine="361" w:firstLineChars="150"/>
              <w:rPr>
                <w:rFonts w:ascii="宋体" w:hAnsi="宋体"/>
                <w:b/>
                <w:szCs w:val="21"/>
              </w:rPr>
            </w:pPr>
            <w:r>
              <w:rPr>
                <w:rFonts w:hint="eastAsia" w:ascii="宋体" w:hAnsi="宋体"/>
                <w:b/>
                <w:szCs w:val="21"/>
              </w:rPr>
              <w:t>□推荐保持（□</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p>
          <w:p>
            <w:pPr>
              <w:ind w:left="240" w:leftChars="100" w:firstLine="120" w:firstLineChars="50"/>
              <w:jc w:val="left"/>
              <w:rPr>
                <w:rFonts w:ascii="宋体" w:hAnsi="宋体"/>
                <w:b/>
                <w:szCs w:val="21"/>
              </w:rPr>
            </w:pPr>
            <w:r>
              <w:rPr>
                <w:rFonts w:hint="eastAsia" w:ascii="宋体" w:hAnsi="宋体"/>
                <w:b/>
                <w:color w:val="000000" w:themeColor="text1"/>
                <w:szCs w:val="21"/>
              </w:rPr>
              <w:t>■</w:t>
            </w:r>
            <w:r>
              <w:rPr>
                <w:rFonts w:ascii="宋体" w:hAnsi="宋体"/>
                <w:b/>
                <w:szCs w:val="21"/>
              </w:rPr>
              <w:t>(</w:t>
            </w:r>
            <w:r>
              <w:rPr>
                <w:rFonts w:hint="eastAsia" w:ascii="宋体" w:hAnsi="宋体"/>
                <w:b/>
                <w:szCs w:val="21"/>
              </w:rPr>
              <w:t>在完成纠正措施后</w:t>
            </w:r>
            <w:r>
              <w:rPr>
                <w:rFonts w:ascii="宋体" w:hAnsi="宋体"/>
                <w:b/>
                <w:szCs w:val="21"/>
              </w:rPr>
              <w:t>)</w:t>
            </w:r>
            <w:r>
              <w:rPr>
                <w:rFonts w:hint="eastAsia" w:ascii="宋体" w:hAnsi="宋体"/>
                <w:b/>
                <w:szCs w:val="21"/>
              </w:rPr>
              <w:t>推荐保持（</w:t>
            </w:r>
            <w:r>
              <w:rPr>
                <w:rFonts w:hint="eastAsia" w:ascii="宋体" w:hAnsi="宋体"/>
                <w:b/>
                <w:color w:val="000000" w:themeColor="text1"/>
                <w:szCs w:val="21"/>
              </w:rPr>
              <w:t>■</w:t>
            </w:r>
            <w:r>
              <w:rPr>
                <w:rFonts w:ascii="宋体" w:hAnsi="宋体"/>
                <w:b/>
                <w:szCs w:val="21"/>
              </w:rPr>
              <w:t>QMS</w:t>
            </w:r>
            <w:r>
              <w:rPr>
                <w:rFonts w:hint="eastAsia" w:ascii="宋体" w:hAnsi="宋体"/>
                <w:b/>
                <w:szCs w:val="21"/>
              </w:rPr>
              <w:t>□50430</w:t>
            </w:r>
            <w:r>
              <w:rPr>
                <w:rFonts w:hint="eastAsia" w:ascii="宋体" w:hAnsi="宋体"/>
                <w:b/>
                <w:color w:val="000000" w:themeColor="text1"/>
                <w:szCs w:val="21"/>
              </w:rPr>
              <w:t>■</w:t>
            </w:r>
            <w:r>
              <w:rPr>
                <w:rFonts w:ascii="宋体" w:hAnsi="宋体"/>
                <w:b/>
                <w:szCs w:val="21"/>
              </w:rPr>
              <w:t xml:space="preserve">EMS  </w:t>
            </w:r>
            <w:r>
              <w:rPr>
                <w:rFonts w:hint="eastAsia" w:ascii="宋体" w:hAnsi="宋体"/>
                <w:b/>
                <w:color w:val="000000" w:themeColor="text1"/>
                <w:szCs w:val="21"/>
              </w:rPr>
              <w:t>■</w:t>
            </w:r>
            <w:r>
              <w:rPr>
                <w:rFonts w:ascii="宋体" w:hAnsi="宋体"/>
                <w:b/>
                <w:szCs w:val="21"/>
              </w:rPr>
              <w:t>OHSMS</w:t>
            </w:r>
            <w:r>
              <w:rPr>
                <w:rFonts w:hint="eastAsia" w:ascii="宋体" w:hAnsi="宋体"/>
                <w:b/>
                <w:szCs w:val="21"/>
              </w:rPr>
              <w:t>）</w:t>
            </w:r>
          </w:p>
          <w:p>
            <w:pPr>
              <w:spacing w:line="280" w:lineRule="exact"/>
              <w:ind w:firstLine="361" w:firstLineChars="150"/>
              <w:rPr>
                <w:rFonts w:ascii="宋体" w:hAnsi="宋体"/>
                <w:b/>
                <w:szCs w:val="21"/>
              </w:rPr>
            </w:pPr>
            <w:r>
              <w:rPr>
                <w:rFonts w:hint="eastAsia" w:ascii="宋体" w:hAnsi="宋体"/>
                <w:b/>
                <w:szCs w:val="21"/>
              </w:rPr>
              <w:t>□延期推荐（□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rFonts w:ascii="宋体" w:hAnsi="宋体"/>
                <w:b/>
                <w:szCs w:val="21"/>
              </w:rPr>
            </w:pPr>
            <w:r>
              <w:rPr>
                <w:rFonts w:hint="eastAsia" w:ascii="宋体" w:hAnsi="宋体"/>
                <w:b/>
                <w:szCs w:val="21"/>
              </w:rPr>
              <w:t>□不推荐（□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rFonts w:ascii="宋体" w:hAnsi="宋体"/>
                <w:b/>
                <w:szCs w:val="21"/>
              </w:rPr>
            </w:pPr>
            <w:r>
              <w:rPr>
                <w:rFonts w:hint="eastAsia" w:ascii="宋体" w:hAnsi="宋体"/>
                <w:b/>
                <w:szCs w:val="21"/>
              </w:rPr>
              <w:t>延期推荐、不推荐或缩小认证范围的说明</w:t>
            </w:r>
            <w:r>
              <w:rPr>
                <w:rFonts w:ascii="宋体" w:hAnsi="宋体"/>
                <w:b/>
                <w:szCs w:val="21"/>
              </w:rPr>
              <w:t>:</w:t>
            </w:r>
          </w:p>
          <w:p>
            <w:pPr>
              <w:spacing w:line="280" w:lineRule="exact"/>
              <w:rPr>
                <w:rFonts w:ascii="宋体" w:hAnsi="宋体"/>
                <w:b/>
                <w:szCs w:val="21"/>
              </w:rPr>
            </w:pPr>
          </w:p>
          <w:p>
            <w:pPr>
              <w:spacing w:line="280" w:lineRule="exact"/>
              <w:rPr>
                <w:rFonts w:ascii="宋体" w:hAnsi="宋体"/>
                <w:b/>
                <w:szCs w:val="21"/>
              </w:rPr>
            </w:pPr>
          </w:p>
        </w:tc>
      </w:tr>
    </w:tbl>
    <w:p>
      <w:pPr>
        <w:snapToGrid w:val="0"/>
        <w:spacing w:line="240" w:lineRule="exact"/>
        <w:rPr>
          <w:b/>
          <w:sz w:val="21"/>
          <w:szCs w:val="21"/>
        </w:rPr>
      </w:pPr>
    </w:p>
    <w:p>
      <w:pPr>
        <w:tabs>
          <w:tab w:val="left" w:pos="645"/>
        </w:tabs>
        <w:spacing w:afterLines="50" w:line="360" w:lineRule="exact"/>
        <w:rPr>
          <w:b/>
          <w:sz w:val="16"/>
          <w:szCs w:val="16"/>
        </w:rPr>
      </w:pPr>
      <w:r>
        <w:rPr>
          <w:rFonts w:hint="eastAsia"/>
          <w:b/>
          <w:sz w:val="26"/>
          <w:szCs w:val="26"/>
        </w:rPr>
        <w:t>十、不符合项纠正措施要求</w:t>
      </w:r>
    </w:p>
    <w:p>
      <w:pPr>
        <w:spacing w:line="360" w:lineRule="exact"/>
        <w:ind w:left="528" w:leftChars="220"/>
        <w:rPr>
          <w:b/>
          <w:sz w:val="21"/>
        </w:rPr>
      </w:pPr>
      <w:r>
        <w:rPr>
          <w:rFonts w:hint="eastAsia"/>
          <w:b/>
          <w:sz w:val="21"/>
        </w:rPr>
        <w:t>根据相关规定，请组织对一般不符合报告在</w:t>
      </w:r>
      <w:r>
        <w:rPr>
          <w:b/>
          <w:sz w:val="21"/>
          <w:u w:val="single"/>
        </w:rPr>
        <w:t xml:space="preserve">  30   </w:t>
      </w:r>
      <w:r>
        <w:rPr>
          <w:rFonts w:hint="eastAsia"/>
          <w:b/>
          <w:sz w:val="21"/>
        </w:rPr>
        <w:t>天</w:t>
      </w:r>
      <w:r>
        <w:rPr>
          <w:b/>
          <w:sz w:val="21"/>
        </w:rPr>
        <w:t>/</w:t>
      </w:r>
      <w:r>
        <w:rPr>
          <w:rFonts w:hint="eastAsia"/>
          <w:b/>
          <w:sz w:val="21"/>
        </w:rPr>
        <w:t>严重不符合在</w:t>
      </w:r>
      <w:r>
        <w:rPr>
          <w:rFonts w:hint="eastAsia"/>
          <w:b/>
          <w:sz w:val="21"/>
          <w:u w:val="single"/>
          <w:lang w:val="en-US" w:eastAsia="zh-CN"/>
        </w:rPr>
        <w:t>60</w:t>
      </w:r>
      <w:r>
        <w:rPr>
          <w:rFonts w:hint="eastAsia"/>
          <w:b/>
          <w:sz w:val="21"/>
        </w:rPr>
        <w:t>天针对不符合原因制定并实施纠正措施。验证方式见不符合项报告。</w:t>
      </w:r>
    </w:p>
    <w:p>
      <w:pPr>
        <w:spacing w:beforeLines="50" w:afterLines="50"/>
        <w:ind w:left="-122" w:leftChars="-51" w:firstLine="120" w:firstLineChars="46"/>
        <w:rPr>
          <w:b/>
          <w:color w:val="FF0000"/>
          <w:sz w:val="26"/>
          <w:szCs w:val="26"/>
        </w:rPr>
      </w:pPr>
      <w:r>
        <w:rPr>
          <w:rFonts w:hint="eastAsia"/>
          <w:b/>
          <w:sz w:val="26"/>
          <w:szCs w:val="26"/>
        </w:rPr>
        <w:t>十一、</w:t>
      </w:r>
      <w:r>
        <w:rPr>
          <w:rFonts w:hint="eastAsia" w:ascii="仿宋" w:hAnsi="仿宋" w:eastAsia="仿宋"/>
          <w:kern w:val="24"/>
          <w:sz w:val="28"/>
          <w:szCs w:val="28"/>
        </w:rPr>
        <w:t>任何影响审核方案的重要事项</w:t>
      </w:r>
      <w:r>
        <w:rPr>
          <w:rFonts w:hint="eastAsia"/>
          <w:b/>
          <w:sz w:val="26"/>
          <w:szCs w:val="26"/>
        </w:rPr>
        <w:t>：</w:t>
      </w:r>
    </w:p>
    <w:p>
      <w:pPr>
        <w:snapToGrid w:val="0"/>
        <w:spacing w:line="360" w:lineRule="exact"/>
        <w:rPr>
          <w:b/>
          <w:bCs/>
          <w:sz w:val="21"/>
          <w:szCs w:val="28"/>
        </w:rPr>
      </w:pPr>
    </w:p>
    <w:p>
      <w:pPr>
        <w:tabs>
          <w:tab w:val="left" w:pos="645"/>
        </w:tabs>
        <w:spacing w:afterLines="50" w:line="360" w:lineRule="exact"/>
        <w:rPr>
          <w:b/>
          <w:sz w:val="16"/>
          <w:szCs w:val="16"/>
        </w:rPr>
      </w:pPr>
      <w:r>
        <w:rPr>
          <w:sz w:val="21"/>
          <w:szCs w:val="21"/>
        </w:rPr>
        <w:drawing>
          <wp:anchor distT="0" distB="0" distL="114300" distR="114300" simplePos="0" relativeHeight="251664384" behindDoc="0" locked="0" layoutInCell="1" allowOverlap="1">
            <wp:simplePos x="0" y="0"/>
            <wp:positionH relativeFrom="column">
              <wp:posOffset>1750695</wp:posOffset>
            </wp:positionH>
            <wp:positionV relativeFrom="paragraph">
              <wp:posOffset>250190</wp:posOffset>
            </wp:positionV>
            <wp:extent cx="371475" cy="342900"/>
            <wp:effectExtent l="0" t="0" r="9525" b="0"/>
            <wp:wrapNone/>
            <wp:docPr id="9" name="图片 1" descr="C:\Users\24309\Desktop\文平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descr="C:\Users\24309\Desktop\文平1.jpg"/>
                    <pic:cNvPicPr>
                      <a:picLocks noChangeAspect="1" noChangeArrowheads="1"/>
                    </pic:cNvPicPr>
                  </pic:nvPicPr>
                  <pic:blipFill>
                    <a:blip r:embed="rId6" cstate="print"/>
                    <a:srcRect/>
                    <a:stretch>
                      <a:fillRect/>
                    </a:stretch>
                  </pic:blipFill>
                  <pic:spPr>
                    <a:xfrm>
                      <a:off x="0" y="0"/>
                      <a:ext cx="371475" cy="342900"/>
                    </a:xfrm>
                    <a:prstGeom prst="rect">
                      <a:avLst/>
                    </a:prstGeom>
                    <a:noFill/>
                    <a:ln w="9525">
                      <a:noFill/>
                      <a:miter lim="800000"/>
                      <a:headEnd/>
                      <a:tailEnd/>
                    </a:ln>
                  </pic:spPr>
                </pic:pic>
              </a:graphicData>
            </a:graphic>
          </wp:anchor>
        </w:drawing>
      </w:r>
      <w:r>
        <w:rPr>
          <w:rFonts w:hint="eastAsia"/>
          <w:b/>
          <w:sz w:val="26"/>
          <w:szCs w:val="26"/>
        </w:rPr>
        <w:t>十二、审核组签字</w:t>
      </w:r>
    </w:p>
    <w:p>
      <w:pPr>
        <w:snapToGrid w:val="0"/>
        <w:spacing w:line="320" w:lineRule="exact"/>
        <w:ind w:firstLine="527" w:firstLineChars="250"/>
        <w:rPr>
          <w:b/>
          <w:sz w:val="21"/>
        </w:rPr>
      </w:pPr>
      <w:r>
        <w:rPr>
          <w:rFonts w:hint="eastAsia"/>
          <w:b/>
          <w:sz w:val="21"/>
        </w:rPr>
        <w:t>审核组组长（签名）：</w:t>
      </w:r>
    </w:p>
    <w:p>
      <w:pPr>
        <w:snapToGrid w:val="0"/>
        <w:spacing w:beforeLines="50" w:line="320" w:lineRule="exact"/>
        <w:ind w:firstLine="525" w:firstLineChars="250"/>
        <w:rPr>
          <w:b/>
          <w:sz w:val="21"/>
        </w:rPr>
      </w:pPr>
      <w:r>
        <w:rPr>
          <w:sz w:val="21"/>
          <w:szCs w:val="21"/>
        </w:rPr>
        <w:drawing>
          <wp:anchor distT="0" distB="0" distL="114300" distR="114300" simplePos="0" relativeHeight="251666432" behindDoc="0" locked="0" layoutInCell="1" allowOverlap="1">
            <wp:simplePos x="0" y="0"/>
            <wp:positionH relativeFrom="column">
              <wp:posOffset>2171065</wp:posOffset>
            </wp:positionH>
            <wp:positionV relativeFrom="paragraph">
              <wp:posOffset>72390</wp:posOffset>
            </wp:positionV>
            <wp:extent cx="590550" cy="431800"/>
            <wp:effectExtent l="0" t="0" r="6350" b="0"/>
            <wp:wrapNone/>
            <wp:docPr id="11" name="图片 1" descr="C:\Users\24309\AppData\Local\Temp\WeChat Files\5990baca09647c352f1321b31faa90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 descr="C:\Users\24309\AppData\Local\Temp\WeChat Files\5990baca09647c352f1321b31faa90a.jpg"/>
                    <pic:cNvPicPr>
                      <a:picLocks noChangeAspect="1" noChangeArrowheads="1"/>
                    </pic:cNvPicPr>
                  </pic:nvPicPr>
                  <pic:blipFill>
                    <a:blip r:embed="rId7" cstate="print"/>
                    <a:srcRect/>
                    <a:stretch>
                      <a:fillRect/>
                    </a:stretch>
                  </pic:blipFill>
                  <pic:spPr>
                    <a:xfrm>
                      <a:off x="0" y="0"/>
                      <a:ext cx="590550" cy="431800"/>
                    </a:xfrm>
                    <a:prstGeom prst="rect">
                      <a:avLst/>
                    </a:prstGeom>
                    <a:noFill/>
                    <a:ln w="9525">
                      <a:noFill/>
                      <a:miter lim="800000"/>
                      <a:headEnd/>
                      <a:tailEnd/>
                    </a:ln>
                  </pic:spPr>
                </pic:pic>
              </a:graphicData>
            </a:graphic>
          </wp:anchor>
        </w:drawing>
      </w:r>
      <w:r>
        <w:rPr>
          <w:sz w:val="21"/>
          <w:szCs w:val="21"/>
        </w:rPr>
        <w:drawing>
          <wp:anchor distT="0" distB="0" distL="114300" distR="114300" simplePos="0" relativeHeight="251665408" behindDoc="0" locked="0" layoutInCell="1" allowOverlap="1">
            <wp:simplePos x="0" y="0"/>
            <wp:positionH relativeFrom="column">
              <wp:posOffset>1701800</wp:posOffset>
            </wp:positionH>
            <wp:positionV relativeFrom="paragraph">
              <wp:posOffset>86995</wp:posOffset>
            </wp:positionV>
            <wp:extent cx="419100" cy="323850"/>
            <wp:effectExtent l="0" t="0" r="0" b="6350"/>
            <wp:wrapNone/>
            <wp:docPr id="10" name="图片 1"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 descr="C:\Users\Administrator\Desktop\签名.jpg"/>
                    <pic:cNvPicPr>
                      <a:picLocks noChangeAspect="1" noChangeArrowheads="1"/>
                    </pic:cNvPicPr>
                  </pic:nvPicPr>
                  <pic:blipFill>
                    <a:blip r:embed="rId8" cstate="print"/>
                    <a:srcRect/>
                    <a:stretch>
                      <a:fillRect/>
                    </a:stretch>
                  </pic:blipFill>
                  <pic:spPr>
                    <a:xfrm>
                      <a:off x="0" y="0"/>
                      <a:ext cx="419100" cy="323850"/>
                    </a:xfrm>
                    <a:prstGeom prst="rect">
                      <a:avLst/>
                    </a:prstGeom>
                    <a:noFill/>
                    <a:ln w="9525">
                      <a:noFill/>
                      <a:miter lim="800000"/>
                      <a:headEnd/>
                      <a:tailEnd/>
                    </a:ln>
                  </pic:spPr>
                </pic:pic>
              </a:graphicData>
            </a:graphic>
          </wp:anchor>
        </w:drawing>
      </w:r>
      <w:r>
        <w:rPr>
          <w:rFonts w:hint="eastAsia"/>
          <w:b/>
          <w:sz w:val="21"/>
        </w:rPr>
        <w:t>审核组组员（签名）：</w:t>
      </w:r>
    </w:p>
    <w:p>
      <w:pPr>
        <w:snapToGrid w:val="0"/>
        <w:spacing w:line="280" w:lineRule="exact"/>
        <w:ind w:firstLine="6325" w:firstLineChars="3000"/>
        <w:rPr>
          <w:b/>
          <w:sz w:val="21"/>
        </w:rPr>
      </w:pPr>
      <w:r>
        <w:rPr>
          <w:rFonts w:hint="eastAsia"/>
          <w:b/>
          <w:sz w:val="21"/>
        </w:rPr>
        <w:t>日期：</w:t>
      </w:r>
      <w:r>
        <w:rPr>
          <w:rFonts w:hint="eastAsia"/>
          <w:sz w:val="22"/>
          <w:szCs w:val="22"/>
        </w:rPr>
        <w:t xml:space="preserve">2021.4.28 </w:t>
      </w:r>
    </w:p>
    <w:p>
      <w:pPr>
        <w:snapToGrid w:val="0"/>
        <w:spacing w:line="200" w:lineRule="exact"/>
        <w:ind w:firstLine="482" w:firstLineChars="300"/>
        <w:rPr>
          <w:b/>
          <w:sz w:val="16"/>
          <w:szCs w:val="16"/>
        </w:rPr>
      </w:pPr>
    </w:p>
    <w:p>
      <w:pPr>
        <w:tabs>
          <w:tab w:val="left" w:pos="645"/>
        </w:tabs>
        <w:spacing w:afterLines="50" w:line="360" w:lineRule="exact"/>
        <w:rPr>
          <w:b/>
          <w:bCs/>
          <w:sz w:val="16"/>
          <w:szCs w:val="16"/>
        </w:rPr>
      </w:pPr>
      <w:r>
        <w:rPr>
          <w:rFonts w:hint="eastAsia"/>
          <w:b/>
          <w:sz w:val="26"/>
          <w:szCs w:val="26"/>
        </w:rPr>
        <w:t>十三、纠正措施验证及结论</w:t>
      </w:r>
      <w:r>
        <w:rPr>
          <w:rFonts w:hint="eastAsia"/>
          <w:b/>
          <w:bCs/>
          <w:sz w:val="16"/>
          <w:szCs w:val="16"/>
        </w:rPr>
        <w:t>：</w:t>
      </w:r>
    </w:p>
    <w:p>
      <w:pPr>
        <w:spacing w:line="360" w:lineRule="exact"/>
        <w:ind w:firstLine="527" w:firstLineChars="250"/>
        <w:rPr>
          <w:b/>
          <w:bCs/>
          <w:sz w:val="21"/>
          <w:szCs w:val="21"/>
        </w:rPr>
      </w:pPr>
      <w:r>
        <w:rPr>
          <w:b/>
          <w:bCs/>
          <w:sz w:val="21"/>
          <w:szCs w:val="21"/>
        </w:rPr>
        <w:t>1.</w:t>
      </w:r>
      <w:r>
        <w:rPr>
          <w:rFonts w:hint="eastAsia"/>
          <w:b/>
          <w:bCs/>
          <w:sz w:val="21"/>
          <w:szCs w:val="21"/>
        </w:rPr>
        <w:t>审核中发现的</w:t>
      </w:r>
      <w:r>
        <w:rPr>
          <w:rFonts w:hint="eastAsia"/>
          <w:b/>
          <w:sz w:val="21"/>
          <w:szCs w:val="21"/>
        </w:rPr>
        <w:t>☑</w:t>
      </w:r>
      <w:r>
        <w:rPr>
          <w:b/>
          <w:sz w:val="21"/>
          <w:szCs w:val="21"/>
        </w:rPr>
        <w:t>QMS (</w:t>
      </w:r>
      <w:r>
        <w:rPr>
          <w:rFonts w:hint="eastAsia"/>
          <w:b/>
          <w:sz w:val="21"/>
          <w:szCs w:val="21"/>
        </w:rPr>
        <w:t xml:space="preserve"> 1 </w:t>
      </w:r>
      <w:r>
        <w:rPr>
          <w:b/>
          <w:sz w:val="21"/>
          <w:szCs w:val="21"/>
        </w:rPr>
        <w:t>)</w:t>
      </w:r>
      <w:r>
        <w:rPr>
          <w:rFonts w:hint="eastAsia"/>
          <w:b/>
          <w:sz w:val="21"/>
          <w:szCs w:val="21"/>
        </w:rPr>
        <w:t>个一般不符合，</w:t>
      </w:r>
      <w:r>
        <w:rPr>
          <w:b/>
          <w:sz w:val="21"/>
          <w:szCs w:val="21"/>
        </w:rPr>
        <w:t>(</w:t>
      </w:r>
      <w:r>
        <w:rPr>
          <w:rFonts w:hint="eastAsia"/>
          <w:b/>
          <w:sz w:val="21"/>
          <w:szCs w:val="21"/>
        </w:rPr>
        <w:t xml:space="preserve"> 0 </w:t>
      </w:r>
      <w:r>
        <w:rPr>
          <w:b/>
          <w:sz w:val="21"/>
          <w:szCs w:val="21"/>
        </w:rPr>
        <w:t>)</w:t>
      </w:r>
      <w:r>
        <w:rPr>
          <w:rFonts w:hint="eastAsia"/>
          <w:b/>
          <w:sz w:val="21"/>
          <w:szCs w:val="21"/>
        </w:rPr>
        <w:t>个严重不符合，☑验证合格□仍有问题</w:t>
      </w:r>
    </w:p>
    <w:p>
      <w:pPr>
        <w:spacing w:line="360" w:lineRule="exact"/>
        <w:ind w:firstLine="843" w:firstLineChars="400"/>
        <w:rPr>
          <w:b/>
          <w:bCs/>
          <w:sz w:val="21"/>
          <w:szCs w:val="21"/>
        </w:rPr>
      </w:pPr>
      <w:r>
        <w:rPr>
          <w:rFonts w:hint="eastAsia"/>
          <w:b/>
          <w:bCs/>
          <w:sz w:val="21"/>
          <w:szCs w:val="21"/>
        </w:rPr>
        <w:t>审核中发现的□50430 (    )个一般不符合，(    )个严重不符合，□验证合格□仍有问题</w:t>
      </w:r>
    </w:p>
    <w:p>
      <w:pPr>
        <w:spacing w:line="360" w:lineRule="exact"/>
        <w:ind w:firstLine="843" w:firstLineChars="400"/>
        <w:rPr>
          <w:b/>
          <w:sz w:val="21"/>
          <w:szCs w:val="21"/>
        </w:rPr>
      </w:pPr>
      <w:r>
        <w:rPr>
          <w:rFonts w:hint="eastAsia"/>
          <w:b/>
          <w:bCs/>
          <w:sz w:val="21"/>
          <w:szCs w:val="21"/>
        </w:rPr>
        <w:t>审核中发现的</w:t>
      </w:r>
      <w:r>
        <w:rPr>
          <w:rFonts w:hint="eastAsia"/>
          <w:b/>
          <w:sz w:val="21"/>
          <w:szCs w:val="21"/>
        </w:rPr>
        <w:t>□</w:t>
      </w:r>
      <w:r>
        <w:rPr>
          <w:b/>
          <w:sz w:val="21"/>
          <w:szCs w:val="21"/>
        </w:rPr>
        <w:t>EMS (</w:t>
      </w:r>
      <w:r>
        <w:rPr>
          <w:rFonts w:hint="eastAsia"/>
          <w:b/>
          <w:sz w:val="21"/>
          <w:szCs w:val="21"/>
        </w:rPr>
        <w:t xml:space="preserve">  </w:t>
      </w:r>
      <w:r>
        <w:rPr>
          <w:b/>
          <w:sz w:val="21"/>
          <w:szCs w:val="21"/>
        </w:rPr>
        <w:t>)</w:t>
      </w:r>
      <w:r>
        <w:rPr>
          <w:rFonts w:hint="eastAsia"/>
          <w:b/>
          <w:sz w:val="21"/>
          <w:szCs w:val="21"/>
        </w:rPr>
        <w:t>个一般不符合，</w:t>
      </w:r>
      <w:r>
        <w:rPr>
          <w:b/>
          <w:sz w:val="21"/>
          <w:szCs w:val="21"/>
        </w:rPr>
        <w:t xml:space="preserve">( </w:t>
      </w:r>
      <w:r>
        <w:rPr>
          <w:rFonts w:hint="eastAsia"/>
          <w:b/>
          <w:sz w:val="21"/>
          <w:szCs w:val="21"/>
        </w:rPr>
        <w:t xml:space="preserve">  </w:t>
      </w:r>
      <w:r>
        <w:rPr>
          <w:b/>
          <w:sz w:val="21"/>
          <w:szCs w:val="21"/>
        </w:rPr>
        <w:t>)</w:t>
      </w:r>
      <w:r>
        <w:rPr>
          <w:rFonts w:hint="eastAsia"/>
          <w:b/>
          <w:sz w:val="21"/>
          <w:szCs w:val="21"/>
        </w:rPr>
        <w:t>个严重不符合，□验证合格□仍有问题</w:t>
      </w:r>
    </w:p>
    <w:p>
      <w:pPr>
        <w:spacing w:line="360" w:lineRule="exact"/>
        <w:ind w:firstLine="843" w:firstLineChars="400"/>
        <w:rPr>
          <w:b/>
          <w:sz w:val="21"/>
          <w:szCs w:val="21"/>
        </w:rPr>
      </w:pPr>
      <w:r>
        <w:rPr>
          <w:rFonts w:hint="eastAsia"/>
          <w:b/>
          <w:bCs/>
          <w:sz w:val="21"/>
          <w:szCs w:val="21"/>
        </w:rPr>
        <w:t>审核中发现的</w:t>
      </w:r>
      <w:r>
        <w:rPr>
          <w:rFonts w:hint="eastAsia"/>
          <w:b/>
          <w:sz w:val="21"/>
          <w:szCs w:val="21"/>
        </w:rPr>
        <w:t>□</w:t>
      </w:r>
      <w:r>
        <w:rPr>
          <w:b/>
          <w:sz w:val="21"/>
          <w:szCs w:val="21"/>
        </w:rPr>
        <w:t>OHSMS (    )</w:t>
      </w:r>
      <w:r>
        <w:rPr>
          <w:rFonts w:hint="eastAsia"/>
          <w:b/>
          <w:sz w:val="21"/>
          <w:szCs w:val="21"/>
        </w:rPr>
        <w:t>个一般不符合，</w:t>
      </w:r>
      <w:r>
        <w:rPr>
          <w:b/>
          <w:sz w:val="21"/>
          <w:szCs w:val="21"/>
        </w:rPr>
        <w:t>(    )</w:t>
      </w:r>
      <w:r>
        <w:rPr>
          <w:rFonts w:hint="eastAsia"/>
          <w:b/>
          <w:sz w:val="21"/>
          <w:szCs w:val="21"/>
        </w:rPr>
        <w:t>个严重不符合，□验证合格□仍有问题</w:t>
      </w:r>
      <w:r>
        <w:rPr>
          <w:rFonts w:hint="eastAsia"/>
          <w:b/>
          <w:bCs/>
          <w:sz w:val="21"/>
          <w:szCs w:val="21"/>
        </w:rPr>
        <w:t>审</w:t>
      </w:r>
    </w:p>
    <w:p>
      <w:pPr>
        <w:spacing w:line="360" w:lineRule="exact"/>
        <w:ind w:firstLine="843" w:firstLineChars="400"/>
        <w:rPr>
          <w:b/>
          <w:sz w:val="21"/>
          <w:szCs w:val="21"/>
        </w:rPr>
      </w:pPr>
    </w:p>
    <w:p>
      <w:pPr>
        <w:spacing w:beforeLines="50" w:line="400" w:lineRule="exact"/>
        <w:rPr>
          <w:b/>
          <w:sz w:val="21"/>
          <w:szCs w:val="21"/>
          <w:u w:val="single"/>
        </w:rPr>
      </w:pPr>
      <w:r>
        <w:rPr>
          <w:rFonts w:hint="eastAsia"/>
          <w:b/>
          <w:sz w:val="21"/>
          <w:szCs w:val="21"/>
        </w:rPr>
        <w:t>存在问题说明及意见：</w:t>
      </w:r>
    </w:p>
    <w:p>
      <w:pPr>
        <w:spacing w:line="400" w:lineRule="exact"/>
        <w:rPr>
          <w:b/>
          <w:sz w:val="21"/>
          <w:szCs w:val="21"/>
          <w:u w:val="single"/>
        </w:rPr>
      </w:pPr>
    </w:p>
    <w:p>
      <w:pPr>
        <w:spacing w:beforeLines="50"/>
        <w:ind w:firstLine="632" w:firstLineChars="300"/>
        <w:rPr>
          <w:b/>
          <w:sz w:val="21"/>
          <w:szCs w:val="21"/>
        </w:rPr>
      </w:pPr>
      <w:r>
        <w:rPr>
          <w:b/>
          <w:sz w:val="21"/>
          <w:szCs w:val="21"/>
        </w:rPr>
        <w:t>2.</w:t>
      </w:r>
      <w:r>
        <w:rPr>
          <w:rFonts w:hint="eastAsia"/>
          <w:b/>
          <w:sz w:val="21"/>
          <w:szCs w:val="21"/>
        </w:rPr>
        <w:t>验证结论：</w:t>
      </w:r>
      <w:bookmarkStart w:id="23" w:name="_GoBack"/>
      <w:bookmarkEnd w:id="23"/>
    </w:p>
    <w:p>
      <w:pPr>
        <w:tabs>
          <w:tab w:val="left" w:pos="6880"/>
          <w:tab w:val="left" w:pos="7740"/>
          <w:tab w:val="left" w:pos="8385"/>
        </w:tabs>
        <w:snapToGrid w:val="0"/>
        <w:spacing w:beforeLines="50"/>
        <w:ind w:firstLine="1717" w:firstLineChars="900"/>
        <w:rPr>
          <w:b/>
          <w:sz w:val="21"/>
          <w:szCs w:val="21"/>
        </w:rPr>
      </w:pPr>
      <w:r>
        <w:rPr>
          <w:rFonts w:hint="eastAsia"/>
          <w:b/>
          <w:spacing w:val="-10"/>
          <w:sz w:val="21"/>
          <w:szCs w:val="21"/>
        </w:rPr>
        <w:sym w:font="Wingdings 2" w:char="0052"/>
      </w:r>
      <w:r>
        <w:rPr>
          <w:rFonts w:hint="eastAsia"/>
          <w:b/>
          <w:sz w:val="21"/>
          <w:szCs w:val="21"/>
        </w:rPr>
        <w:t>同意保持注册</w:t>
      </w:r>
      <w:r>
        <w:rPr>
          <w:rFonts w:hint="eastAsia"/>
          <w:b/>
          <w:spacing w:val="-10"/>
          <w:sz w:val="21"/>
          <w:szCs w:val="21"/>
        </w:rPr>
        <w:t>□</w:t>
      </w:r>
      <w:r>
        <w:rPr>
          <w:rFonts w:hint="eastAsia"/>
          <w:b/>
          <w:sz w:val="21"/>
          <w:szCs w:val="21"/>
        </w:rPr>
        <w:t>不同意保持注册</w:t>
      </w:r>
    </w:p>
    <w:p>
      <w:pPr>
        <w:tabs>
          <w:tab w:val="left" w:pos="6880"/>
          <w:tab w:val="left" w:pos="7740"/>
          <w:tab w:val="left" w:pos="8385"/>
        </w:tabs>
        <w:snapToGrid w:val="0"/>
        <w:spacing w:beforeLines="50"/>
        <w:ind w:firstLine="720" w:firstLineChars="343"/>
        <w:rPr>
          <w:b/>
          <w:sz w:val="21"/>
          <w:szCs w:val="21"/>
          <w:u w:val="single"/>
        </w:rPr>
      </w:pPr>
      <w:r>
        <w:rPr>
          <w:sz w:val="21"/>
          <w:szCs w:val="21"/>
        </w:rPr>
        <w:drawing>
          <wp:anchor distT="0" distB="0" distL="114300" distR="114300" simplePos="0" relativeHeight="251667456" behindDoc="0" locked="0" layoutInCell="1" allowOverlap="1">
            <wp:simplePos x="0" y="0"/>
            <wp:positionH relativeFrom="column">
              <wp:posOffset>1233170</wp:posOffset>
            </wp:positionH>
            <wp:positionV relativeFrom="paragraph">
              <wp:posOffset>18415</wp:posOffset>
            </wp:positionV>
            <wp:extent cx="371475" cy="342900"/>
            <wp:effectExtent l="0" t="0" r="9525" b="0"/>
            <wp:wrapNone/>
            <wp:docPr id="1" name="图片 1" descr="C:\Users\24309\Desktop\文平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24309\Desktop\文平1.jpg"/>
                    <pic:cNvPicPr>
                      <a:picLocks noChangeAspect="1" noChangeArrowheads="1"/>
                    </pic:cNvPicPr>
                  </pic:nvPicPr>
                  <pic:blipFill>
                    <a:blip r:embed="rId6" cstate="print"/>
                    <a:srcRect/>
                    <a:stretch>
                      <a:fillRect/>
                    </a:stretch>
                  </pic:blipFill>
                  <pic:spPr>
                    <a:xfrm>
                      <a:off x="0" y="0"/>
                      <a:ext cx="371475" cy="342900"/>
                    </a:xfrm>
                    <a:prstGeom prst="rect">
                      <a:avLst/>
                    </a:prstGeom>
                    <a:noFill/>
                    <a:ln w="9525">
                      <a:noFill/>
                      <a:miter lim="800000"/>
                      <a:headEnd/>
                      <a:tailEnd/>
                    </a:ln>
                  </pic:spPr>
                </pic:pic>
              </a:graphicData>
            </a:graphic>
          </wp:anchor>
        </w:drawing>
      </w:r>
      <w:r>
        <w:rPr>
          <w:rFonts w:hint="eastAsia"/>
          <w:b/>
          <w:sz w:val="21"/>
          <w:szCs w:val="21"/>
        </w:rPr>
        <w:t>组长签字：</w:t>
      </w:r>
    </w:p>
    <w:p>
      <w:pPr>
        <w:ind w:left="783" w:hanging="783" w:hangingChars="300"/>
        <w:rPr>
          <w:b/>
          <w:sz w:val="26"/>
          <w:szCs w:val="26"/>
        </w:rPr>
      </w:pPr>
      <w:r>
        <w:rPr>
          <w:rFonts w:hint="eastAsia"/>
          <w:b/>
          <w:sz w:val="26"/>
          <w:szCs w:val="26"/>
        </w:rPr>
        <w:t>十四、</w:t>
      </w:r>
      <w:r>
        <w:rPr>
          <w:rFonts w:hint="eastAsia"/>
          <w:b/>
          <w:bCs/>
          <w:sz w:val="26"/>
          <w:szCs w:val="26"/>
        </w:rPr>
        <w:t>与末次会议结论不同处的说明和其他说明：（技委委员会</w:t>
      </w:r>
      <w:r>
        <w:rPr>
          <w:rFonts w:hint="eastAsia"/>
          <w:b/>
          <w:sz w:val="26"/>
          <w:szCs w:val="26"/>
        </w:rPr>
        <w:t>填写</w:t>
      </w:r>
      <w:r>
        <w:rPr>
          <w:b/>
          <w:sz w:val="26"/>
          <w:szCs w:val="26"/>
        </w:rPr>
        <w:t>)</w:t>
      </w:r>
    </w:p>
    <w:p>
      <w:pPr>
        <w:snapToGrid w:val="0"/>
        <w:rPr>
          <w:b/>
          <w:sz w:val="21"/>
          <w:u w:val="single"/>
        </w:rPr>
      </w:pPr>
    </w:p>
    <w:p>
      <w:pPr>
        <w:spacing w:line="360" w:lineRule="auto"/>
        <w:rPr>
          <w:b/>
          <w:sz w:val="26"/>
          <w:szCs w:val="26"/>
        </w:rPr>
      </w:pPr>
      <w:r>
        <w:rPr>
          <w:rFonts w:hint="eastAsia"/>
          <w:b/>
          <w:sz w:val="26"/>
          <w:szCs w:val="26"/>
        </w:rPr>
        <w:t>十五、认证评定与批准</w:t>
      </w:r>
    </w:p>
    <w:p>
      <w:pPr>
        <w:numPr>
          <w:ilvl w:val="0"/>
          <w:numId w:val="2"/>
        </w:numPr>
        <w:spacing w:line="360" w:lineRule="auto"/>
        <w:rPr>
          <w:b/>
          <w:szCs w:val="24"/>
        </w:rPr>
      </w:pPr>
      <w:r>
        <w:rPr>
          <w:rFonts w:hint="eastAsia"/>
          <w:b/>
          <w:szCs w:val="24"/>
        </w:rPr>
        <w:t>技术委员会评定结论：</w:t>
      </w:r>
      <w:r>
        <w:rPr>
          <w:rFonts w:hint="eastAsia"/>
          <w:b/>
          <w:sz w:val="21"/>
          <w:szCs w:val="21"/>
        </w:rPr>
        <w:t>□</w:t>
      </w:r>
      <w:r>
        <w:rPr>
          <w:rFonts w:hint="eastAsia"/>
          <w:b/>
          <w:sz w:val="21"/>
        </w:rPr>
        <w:t>同意审核组意见</w:t>
      </w:r>
      <w:r>
        <w:rPr>
          <w:rFonts w:hint="eastAsia"/>
          <w:b/>
          <w:sz w:val="21"/>
          <w:szCs w:val="21"/>
        </w:rPr>
        <w:t>□</w:t>
      </w:r>
      <w:r>
        <w:rPr>
          <w:rFonts w:hint="eastAsia"/>
          <w:b/>
          <w:sz w:val="21"/>
        </w:rPr>
        <w:t>不同意审核组意见</w:t>
      </w:r>
    </w:p>
    <w:p>
      <w:pPr>
        <w:spacing w:line="360" w:lineRule="auto"/>
        <w:ind w:left="600"/>
        <w:rPr>
          <w:b/>
          <w:szCs w:val="24"/>
        </w:rPr>
      </w:pPr>
      <w:r>
        <w:rPr>
          <w:rFonts w:hint="eastAsia"/>
          <w:b/>
          <w:szCs w:val="24"/>
        </w:rPr>
        <w:t>认证评定负责人：               日期：     年   月   日</w:t>
      </w:r>
    </w:p>
    <w:p>
      <w:pPr>
        <w:numPr>
          <w:ilvl w:val="0"/>
          <w:numId w:val="2"/>
        </w:numPr>
        <w:spacing w:line="360" w:lineRule="auto"/>
        <w:rPr>
          <w:b/>
          <w:szCs w:val="24"/>
        </w:rPr>
      </w:pPr>
      <w:r>
        <w:rPr>
          <w:rFonts w:hint="eastAsia"/>
          <w:b/>
          <w:szCs w:val="24"/>
        </w:rPr>
        <w:t>批准结论：</w:t>
      </w:r>
      <w:r>
        <w:rPr>
          <w:rFonts w:hint="eastAsia"/>
          <w:b/>
          <w:sz w:val="21"/>
          <w:szCs w:val="21"/>
        </w:rPr>
        <w:t>□</w:t>
      </w:r>
      <w:r>
        <w:rPr>
          <w:rFonts w:hint="eastAsia"/>
          <w:b/>
          <w:sz w:val="21"/>
        </w:rPr>
        <w:t>同意评定结论</w:t>
      </w:r>
      <w:r>
        <w:rPr>
          <w:rFonts w:hint="eastAsia"/>
          <w:b/>
          <w:sz w:val="21"/>
          <w:szCs w:val="21"/>
        </w:rPr>
        <w:t>□</w:t>
      </w:r>
      <w:r>
        <w:rPr>
          <w:rFonts w:hint="eastAsia"/>
          <w:b/>
          <w:sz w:val="21"/>
        </w:rPr>
        <w:t>不同意评定结论</w:t>
      </w:r>
    </w:p>
    <w:p>
      <w:pPr>
        <w:spacing w:line="360" w:lineRule="auto"/>
        <w:ind w:left="600"/>
        <w:rPr>
          <w:b/>
          <w:szCs w:val="24"/>
        </w:rPr>
      </w:pPr>
      <w:r>
        <w:rPr>
          <w:rFonts w:hint="eastAsia"/>
          <w:b/>
          <w:szCs w:val="24"/>
        </w:rPr>
        <w:t>批准人（总经理）：              日期：     年   月   日</w:t>
      </w:r>
    </w:p>
    <w:p>
      <w:pPr>
        <w:snapToGrid w:val="0"/>
        <w:spacing w:beforeLines="50" w:afterLines="50" w:line="360" w:lineRule="exact"/>
        <w:rPr>
          <w:b/>
          <w:sz w:val="26"/>
          <w:szCs w:val="26"/>
        </w:rPr>
      </w:pPr>
      <w:r>
        <w:rPr>
          <w:rFonts w:hint="eastAsia"/>
          <w:b/>
          <w:sz w:val="26"/>
          <w:szCs w:val="26"/>
        </w:rPr>
        <w:t>十六、审核报告的发放范围：</w:t>
      </w:r>
    </w:p>
    <w:p>
      <w:pPr>
        <w:snapToGrid w:val="0"/>
        <w:spacing w:line="320" w:lineRule="exact"/>
        <w:ind w:firstLine="316" w:firstLineChars="150"/>
        <w:rPr>
          <w:b/>
          <w:sz w:val="21"/>
        </w:rPr>
      </w:pPr>
      <w:r>
        <w:rPr>
          <w:rFonts w:hint="eastAsia"/>
          <w:b/>
          <w:sz w:val="21"/>
        </w:rPr>
        <w:t>受审核方（含附件）</w:t>
      </w:r>
      <w:r>
        <w:rPr>
          <w:b/>
          <w:sz w:val="21"/>
        </w:rPr>
        <w:t xml:space="preserve">                    1</w:t>
      </w:r>
      <w:r>
        <w:rPr>
          <w:rFonts w:hint="eastAsia"/>
          <w:b/>
          <w:sz w:val="21"/>
        </w:rPr>
        <w:t>份</w:t>
      </w:r>
    </w:p>
    <w:p>
      <w:pPr>
        <w:snapToGrid w:val="0"/>
        <w:spacing w:line="320" w:lineRule="exact"/>
        <w:ind w:firstLine="316" w:firstLineChars="150"/>
        <w:rPr>
          <w:b/>
          <w:sz w:val="21"/>
        </w:rPr>
      </w:pPr>
      <w:r>
        <w:rPr>
          <w:rFonts w:hint="eastAsia"/>
          <w:b/>
          <w:sz w:val="21"/>
        </w:rPr>
        <w:t>北京国标联合认证有限公司</w:t>
      </w:r>
      <w:r>
        <w:rPr>
          <w:b/>
          <w:sz w:val="21"/>
        </w:rPr>
        <w:t>1</w:t>
      </w:r>
      <w:r>
        <w:rPr>
          <w:rFonts w:hint="eastAsia"/>
          <w:b/>
          <w:sz w:val="21"/>
        </w:rPr>
        <w:t>份</w:t>
      </w:r>
    </w:p>
    <w:p>
      <w:pPr>
        <w:snapToGrid w:val="0"/>
        <w:spacing w:beforeLines="50" w:afterLines="50" w:line="360" w:lineRule="exact"/>
        <w:rPr>
          <w:rFonts w:ascii="宋体"/>
          <w:b/>
          <w:sz w:val="16"/>
          <w:szCs w:val="16"/>
        </w:rPr>
      </w:pPr>
      <w:r>
        <w:rPr>
          <w:rFonts w:hint="eastAsia"/>
          <w:b/>
          <w:sz w:val="26"/>
          <w:szCs w:val="26"/>
        </w:rPr>
        <w:t>十七、</w:t>
      </w:r>
      <w:r>
        <w:rPr>
          <w:rFonts w:hint="eastAsia" w:ascii="宋体" w:hAnsi="宋体"/>
          <w:b/>
          <w:sz w:val="26"/>
          <w:szCs w:val="26"/>
        </w:rPr>
        <w:t>附件</w:t>
      </w:r>
    </w:p>
    <w:p>
      <w:pPr>
        <w:snapToGrid w:val="0"/>
        <w:spacing w:line="320" w:lineRule="exact"/>
        <w:rPr>
          <w:rFonts w:ascii="宋体"/>
          <w:b/>
          <w:bCs/>
          <w:sz w:val="21"/>
          <w:szCs w:val="28"/>
        </w:rPr>
      </w:pPr>
      <w:r>
        <w:rPr>
          <w:b/>
          <w:bCs/>
          <w:sz w:val="21"/>
          <w:szCs w:val="28"/>
        </w:rPr>
        <w:t xml:space="preserve">1. </w:t>
      </w:r>
      <w:r>
        <w:rPr>
          <w:rFonts w:hint="eastAsia" w:ascii="宋体" w:hAnsi="宋体"/>
          <w:b/>
          <w:bCs/>
          <w:sz w:val="21"/>
          <w:szCs w:val="28"/>
        </w:rPr>
        <w:t>审核计划（含项目清单）</w:t>
      </w:r>
    </w:p>
    <w:p>
      <w:pPr>
        <w:snapToGrid w:val="0"/>
        <w:spacing w:line="320" w:lineRule="exact"/>
        <w:rPr>
          <w:rFonts w:ascii="宋体"/>
          <w:b/>
          <w:bCs/>
          <w:sz w:val="18"/>
          <w:szCs w:val="18"/>
        </w:rPr>
      </w:pPr>
      <w:r>
        <w:rPr>
          <w:b/>
          <w:bCs/>
          <w:sz w:val="21"/>
          <w:szCs w:val="28"/>
        </w:rPr>
        <w:t>2.</w:t>
      </w:r>
      <w:r>
        <w:rPr>
          <w:rFonts w:hint="eastAsia" w:ascii="宋体" w:hAnsi="宋体"/>
          <w:b/>
          <w:bCs/>
          <w:sz w:val="21"/>
          <w:szCs w:val="28"/>
        </w:rPr>
        <w:t>不符合报告</w:t>
      </w:r>
      <w:r>
        <w:rPr>
          <w:rFonts w:ascii="宋体" w:hAnsi="宋体"/>
          <w:b/>
          <w:bCs/>
          <w:sz w:val="21"/>
          <w:szCs w:val="28"/>
        </w:rPr>
        <w:t>/</w:t>
      </w:r>
      <w:r>
        <w:rPr>
          <w:rFonts w:hint="eastAsia" w:ascii="宋体" w:hAnsi="宋体"/>
          <w:b/>
          <w:bCs/>
          <w:sz w:val="21"/>
          <w:szCs w:val="28"/>
        </w:rPr>
        <w:t>问题清单</w:t>
      </w:r>
    </w:p>
    <w:p>
      <w:pPr>
        <w:spacing w:line="320" w:lineRule="exact"/>
        <w:rPr>
          <w:b/>
          <w:bCs/>
          <w:sz w:val="16"/>
          <w:szCs w:val="16"/>
        </w:rPr>
      </w:pPr>
      <w:r>
        <w:rPr>
          <w:b/>
          <w:bCs/>
          <w:sz w:val="21"/>
          <w:szCs w:val="28"/>
        </w:rPr>
        <w:t>3.</w:t>
      </w:r>
      <w:r>
        <w:rPr>
          <w:rFonts w:hint="eastAsia" w:ascii="宋体" w:hAnsi="宋体"/>
          <w:b/>
          <w:bCs/>
          <w:sz w:val="21"/>
          <w:szCs w:val="28"/>
        </w:rPr>
        <w:t>其他</w:t>
      </w:r>
    </w:p>
    <w:p>
      <w:pPr>
        <w:spacing w:beforeLines="50" w:afterLines="50" w:line="360" w:lineRule="exact"/>
        <w:rPr>
          <w:rFonts w:ascii="宋体"/>
          <w:b/>
          <w:sz w:val="26"/>
          <w:szCs w:val="26"/>
        </w:rPr>
      </w:pPr>
      <w:r>
        <w:rPr>
          <w:rFonts w:hint="eastAsia" w:ascii="宋体" w:hAnsi="宋体"/>
          <w:b/>
          <w:sz w:val="26"/>
          <w:szCs w:val="26"/>
        </w:rPr>
        <w:t>十八、填表说明：</w:t>
      </w:r>
    </w:p>
    <w:p>
      <w:pPr>
        <w:spacing w:line="320" w:lineRule="exact"/>
        <w:ind w:left="316" w:hanging="316" w:hangingChars="150"/>
        <w:rPr>
          <w:b/>
          <w:bCs/>
          <w:sz w:val="21"/>
        </w:rPr>
      </w:pPr>
      <w:r>
        <w:rPr>
          <w:b/>
          <w:bCs/>
          <w:sz w:val="21"/>
        </w:rPr>
        <w:t xml:space="preserve">1. </w:t>
      </w:r>
      <w:r>
        <w:rPr>
          <w:rFonts w:hint="eastAsia"/>
          <w:b/>
          <w:bCs/>
          <w:sz w:val="21"/>
        </w:rPr>
        <w:t>本审核报告适用于单体系审核，也适用于多体系结合审核情况；</w:t>
      </w:r>
    </w:p>
    <w:p>
      <w:pPr>
        <w:spacing w:line="320" w:lineRule="exact"/>
        <w:ind w:left="316" w:hanging="316" w:hangingChars="150"/>
        <w:rPr>
          <w:b/>
          <w:sz w:val="21"/>
        </w:rPr>
      </w:pPr>
      <w:r>
        <w:rPr>
          <w:b/>
          <w:bCs/>
          <w:sz w:val="21"/>
        </w:rPr>
        <w:t xml:space="preserve">2. </w:t>
      </w:r>
      <w:r>
        <w:rPr>
          <w:rFonts w:hint="eastAsia"/>
          <w:b/>
          <w:bCs/>
          <w:sz w:val="21"/>
        </w:rPr>
        <w:t>应依据审核任务书布置的管理体系领域（指：</w:t>
      </w:r>
      <w:r>
        <w:rPr>
          <w:b/>
          <w:sz w:val="21"/>
        </w:rPr>
        <w:t>QMS</w:t>
      </w:r>
      <w:r>
        <w:rPr>
          <w:rFonts w:hint="eastAsia"/>
          <w:b/>
          <w:sz w:val="21"/>
        </w:rPr>
        <w:t>，50430</w:t>
      </w:r>
      <w:r>
        <w:rPr>
          <w:b/>
          <w:sz w:val="21"/>
        </w:rPr>
        <w:t>, EMS</w:t>
      </w:r>
      <w:r>
        <w:rPr>
          <w:rFonts w:hint="eastAsia"/>
          <w:b/>
          <w:sz w:val="21"/>
        </w:rPr>
        <w:t>，</w:t>
      </w:r>
      <w:r>
        <w:rPr>
          <w:b/>
          <w:sz w:val="21"/>
        </w:rPr>
        <w:t>OHSMS</w:t>
      </w:r>
      <w:r>
        <w:rPr>
          <w:rFonts w:hint="eastAsia"/>
          <w:b/>
          <w:bCs/>
          <w:sz w:val="21"/>
        </w:rPr>
        <w:t>），在相应的</w:t>
      </w:r>
      <w:r>
        <w:rPr>
          <w:rFonts w:hint="eastAsia"/>
          <w:b/>
          <w:sz w:val="18"/>
          <w:szCs w:val="18"/>
        </w:rPr>
        <w:t>□</w:t>
      </w:r>
      <w:r>
        <w:rPr>
          <w:rFonts w:hint="eastAsia"/>
          <w:b/>
          <w:sz w:val="21"/>
        </w:rPr>
        <w:t>内划“√”；</w:t>
      </w:r>
    </w:p>
    <w:p>
      <w:pPr>
        <w:spacing w:line="320" w:lineRule="exact"/>
        <w:ind w:left="215" w:hanging="215" w:hangingChars="102"/>
        <w:rPr>
          <w:b/>
          <w:bCs/>
          <w:sz w:val="21"/>
        </w:rPr>
      </w:pPr>
      <w:r>
        <w:rPr>
          <w:b/>
          <w:sz w:val="21"/>
        </w:rPr>
        <w:t xml:space="preserve">3. </w:t>
      </w:r>
      <w:r>
        <w:rPr>
          <w:rFonts w:hint="eastAsia"/>
          <w:b/>
          <w:color w:val="000000"/>
          <w:sz w:val="21"/>
        </w:rPr>
        <w:t>“括号”内属于本报告基本要求的内容，除按要求填写外，未</w:t>
      </w:r>
      <w:r>
        <w:rPr>
          <w:rFonts w:hint="eastAsia"/>
          <w:b/>
          <w:sz w:val="21"/>
        </w:rPr>
        <w:t>说明的一般应说明负面的发现和潜在的问题或审核组认为应该指明的情况，内容多时可附页；</w:t>
      </w:r>
    </w:p>
    <w:p>
      <w:pPr>
        <w:spacing w:line="320" w:lineRule="exact"/>
        <w:ind w:left="316" w:hanging="316" w:hangingChars="150"/>
        <w:rPr>
          <w:b/>
          <w:sz w:val="21"/>
        </w:rPr>
      </w:pPr>
      <w:r>
        <w:rPr>
          <w:b/>
          <w:sz w:val="21"/>
        </w:rPr>
        <w:t xml:space="preserve">4. </w:t>
      </w:r>
      <w:r>
        <w:rPr>
          <w:rFonts w:hint="eastAsia"/>
          <w:b/>
          <w:sz w:val="21"/>
        </w:rPr>
        <w:t>公正性声明和审核报告签字处需本人亲笔签名。</w:t>
      </w:r>
    </w:p>
    <w:p>
      <w:pPr>
        <w:snapToGrid w:val="0"/>
        <w:jc w:val="left"/>
        <w:rPr>
          <w:b/>
          <w:sz w:val="21"/>
          <w:szCs w:val="21"/>
        </w:rPr>
      </w:pPr>
    </w:p>
    <w:p>
      <w:pPr>
        <w:snapToGrid w:val="0"/>
        <w:jc w:val="left"/>
        <w:rPr>
          <w:rFonts w:ascii="方正仿宋简体" w:eastAsia="方正仿宋简体"/>
          <w:b/>
        </w:rPr>
      </w:pPr>
      <w:r>
        <w:rPr>
          <w:rFonts w:hint="eastAsia" w:ascii="方正仿宋简体" w:eastAsia="方正仿宋简体"/>
          <w:b/>
        </w:rPr>
        <w:t>十九、</w:t>
      </w:r>
      <w:r>
        <w:rPr>
          <w:rFonts w:hint="eastAsia" w:ascii="仿宋" w:hAnsi="仿宋" w:eastAsia="仿宋"/>
          <w:kern w:val="24"/>
          <w:sz w:val="28"/>
          <w:szCs w:val="28"/>
        </w:rPr>
        <w:t>审核基于对可获得信息的抽样过程的免责声明</w:t>
      </w:r>
      <w:r>
        <w:rPr>
          <w:rFonts w:hint="eastAsia" w:ascii="方正仿宋简体" w:eastAsia="方正仿宋简体"/>
          <w:b/>
        </w:rPr>
        <w:t>：</w:t>
      </w:r>
    </w:p>
    <w:p>
      <w:pPr>
        <w:snapToGrid w:val="0"/>
        <w:ind w:firstLine="354" w:firstLineChars="147"/>
        <w:jc w:val="left"/>
        <w:rPr>
          <w:rFonts w:ascii="方正仿宋简体" w:eastAsia="方正仿宋简体"/>
          <w:b/>
        </w:rPr>
      </w:pPr>
    </w:p>
    <w:p>
      <w:pPr>
        <w:snapToGrid w:val="0"/>
        <w:ind w:firstLine="354" w:firstLineChars="147"/>
        <w:jc w:val="left"/>
        <w:rPr>
          <w:b/>
          <w:szCs w:val="24"/>
        </w:rPr>
      </w:pPr>
      <w:r>
        <w:rPr>
          <w:rFonts w:hint="eastAsia" w:ascii="方正仿宋简体" w:eastAsia="方正仿宋简体"/>
          <w:b/>
        </w:rPr>
        <w:t>本次审核基于抽样检查，因此，不可能包含受审核方管理体系覆盖的产品或服务的全部活动。仍可能有未发现的不符合项存在于目前管理体系的运行中。</w:t>
      </w:r>
    </w:p>
    <w:p/>
    <w:p>
      <w:pPr>
        <w:tabs>
          <w:tab w:val="left" w:pos="645"/>
        </w:tabs>
      </w:pPr>
    </w:p>
    <w:sectPr>
      <w:headerReference r:id="rId3" w:type="default"/>
      <w:pgSz w:w="11906" w:h="16838"/>
      <w:pgMar w:top="936" w:right="1077" w:bottom="936" w:left="1134" w:header="454"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modern"/>
    <w:pitch w:val="default"/>
    <w:sig w:usb0="00000000" w:usb1="00000000" w:usb2="00000010" w:usb3="00000000" w:csb0="00040000"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98" w:leftChars="-41" w:firstLine="810" w:firstLineChars="450"/>
      <w:jc w:val="left"/>
      <w:rPr>
        <w:rStyle w:val="14"/>
        <w:rFonts w:hint="default"/>
      </w:rPr>
    </w:pPr>
    <w:r>
      <w:pict>
        <v:shape id="_x0000_s2049" o:spid="_x0000_s2049" o:spt="75" type="#_x0000_t75" style="position:absolute;left:0pt;margin-left:-0.05pt;margin-top:0.35pt;height:34.1pt;width:32.3pt;mso-wrap-distance-left:9pt;mso-wrap-distance-right:9pt;z-index:-251656192;mso-width-relative:page;mso-height-relative:page;" filled="f" o:preferrelative="t" stroked="f" coordsize="21600,21600" wrapcoords="7535 0 5023 480 -502 5760 -502 10080 0 15360 502 17280 7535 20640 11051 20640 13563 20640 14567 20640 20093 15360 21098 6240 16074 1440 13060 0 7535 0">
          <v:path/>
          <v:fill on="f" focussize="0,0"/>
          <v:stroke on="f" joinstyle="miter"/>
          <v:imagedata r:id="rId1" o:title=""/>
          <o:lock v:ext="edit" aspectratio="t"/>
          <w10:wrap type="tight"/>
        </v:shape>
      </w:pict>
    </w:r>
    <w:r>
      <w:rPr>
        <w:rStyle w:val="14"/>
        <w:rFonts w:hint="default"/>
      </w:rPr>
      <w:t>北京国标联合认证有限公司</w:t>
    </w:r>
    <w:r>
      <w:rPr>
        <w:rStyle w:val="14"/>
        <w:rFonts w:hint="default"/>
      </w:rPr>
      <w:tab/>
    </w:r>
    <w:r>
      <w:rPr>
        <w:rStyle w:val="14"/>
        <w:rFonts w:hint="default"/>
      </w:rPr>
      <w:tab/>
    </w:r>
    <w:r>
      <w:rPr>
        <w:rStyle w:val="14"/>
        <w:rFonts w:hint="default"/>
      </w:rPr>
      <w:tab/>
    </w:r>
  </w:p>
  <w:p>
    <w:r>
      <w:pict>
        <v:shape id="文本框 1" o:spid="_x0000_s2050" o:spt="202" type="#_x0000_t202" style="position:absolute;left:0pt;margin-left:554.75pt;margin-top:2.2pt;height:20.2pt;width:172pt;z-index:251661312;mso-width-relative:page;mso-height-relative:page;" stroked="f" coordsize="21600,21600">
          <v:path/>
          <v:fill focussize="0,0"/>
          <v:stroke on="f" joinstyle="miter"/>
          <v:imagedata o:title=""/>
          <o:lock v:ext="edit"/>
          <v:textbox>
            <w:txbxContent>
              <w:p>
                <w:r>
                  <w:rPr>
                    <w:rFonts w:hint="eastAsia"/>
                    <w:sz w:val="18"/>
                    <w:szCs w:val="18"/>
                  </w:rPr>
                  <w:t>ISC-B-II-1</w:t>
                </w:r>
                <w:r>
                  <w:rPr>
                    <w:sz w:val="18"/>
                    <w:szCs w:val="18"/>
                  </w:rPr>
                  <w:t>3</w:t>
                </w:r>
                <w:r>
                  <w:rPr>
                    <w:rFonts w:hint="eastAsia"/>
                    <w:sz w:val="18"/>
                    <w:szCs w:val="18"/>
                  </w:rPr>
                  <w:t>管理体系审核记录表(03版)</w:t>
                </w:r>
              </w:p>
            </w:txbxContent>
          </v:textbox>
        </v:shape>
      </w:pict>
    </w:r>
    <w:r>
      <w:rPr>
        <w:rStyle w:val="14"/>
        <w:rFonts w:hint="default"/>
        <w:w w:val="90"/>
      </w:rPr>
      <w:t>Beijing International Standard united Certification Co.,Ltd.</w:t>
    </w:r>
    <w:r>
      <w:rPr>
        <w:rFonts w:hint="eastAsia"/>
        <w:sz w:val="18"/>
        <w:szCs w:val="18"/>
      </w:rPr>
      <w:t>ISC-B-II-1</w:t>
    </w:r>
    <w:r>
      <w:rPr>
        <w:sz w:val="18"/>
        <w:szCs w:val="18"/>
      </w:rPr>
      <w:t>3</w:t>
    </w:r>
    <w:r>
      <w:rPr>
        <w:rFonts w:hint="eastAsia"/>
        <w:sz w:val="18"/>
        <w:szCs w:val="18"/>
      </w:rPr>
      <w:t>管理体系审核记录表(03版)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decimal"/>
      <w:lvlText w:val="%1．"/>
      <w:lvlJc w:val="left"/>
      <w:pPr>
        <w:tabs>
          <w:tab w:val="left" w:pos="960"/>
        </w:tabs>
        <w:ind w:left="960" w:hanging="360"/>
      </w:pPr>
      <w:rPr>
        <w:rFonts w:hint="default" w:cs="Times New Roman"/>
      </w:rPr>
    </w:lvl>
    <w:lvl w:ilvl="1" w:tentative="0">
      <w:start w:val="1"/>
      <w:numFmt w:val="lowerLetter"/>
      <w:lvlText w:val="%2)"/>
      <w:lvlJc w:val="left"/>
      <w:pPr>
        <w:tabs>
          <w:tab w:val="left" w:pos="1440"/>
        </w:tabs>
        <w:ind w:left="1440" w:hanging="420"/>
      </w:pPr>
      <w:rPr>
        <w:rFonts w:cs="Times New Roman"/>
      </w:rPr>
    </w:lvl>
    <w:lvl w:ilvl="2" w:tentative="0">
      <w:start w:val="1"/>
      <w:numFmt w:val="lowerRoman"/>
      <w:lvlText w:val="%3."/>
      <w:lvlJc w:val="right"/>
      <w:pPr>
        <w:tabs>
          <w:tab w:val="left" w:pos="1860"/>
        </w:tabs>
        <w:ind w:left="1860" w:hanging="420"/>
      </w:pPr>
      <w:rPr>
        <w:rFonts w:cs="Times New Roman"/>
      </w:rPr>
    </w:lvl>
    <w:lvl w:ilvl="3" w:tentative="0">
      <w:start w:val="1"/>
      <w:numFmt w:val="decimal"/>
      <w:lvlText w:val="%4."/>
      <w:lvlJc w:val="left"/>
      <w:pPr>
        <w:tabs>
          <w:tab w:val="left" w:pos="2280"/>
        </w:tabs>
        <w:ind w:left="2280" w:hanging="420"/>
      </w:pPr>
      <w:rPr>
        <w:rFonts w:cs="Times New Roman"/>
      </w:rPr>
    </w:lvl>
    <w:lvl w:ilvl="4" w:tentative="0">
      <w:start w:val="1"/>
      <w:numFmt w:val="lowerLetter"/>
      <w:lvlText w:val="%5)"/>
      <w:lvlJc w:val="left"/>
      <w:pPr>
        <w:tabs>
          <w:tab w:val="left" w:pos="2700"/>
        </w:tabs>
        <w:ind w:left="2700" w:hanging="420"/>
      </w:pPr>
      <w:rPr>
        <w:rFonts w:cs="Times New Roman"/>
      </w:rPr>
    </w:lvl>
    <w:lvl w:ilvl="5" w:tentative="0">
      <w:start w:val="1"/>
      <w:numFmt w:val="lowerRoman"/>
      <w:lvlText w:val="%6."/>
      <w:lvlJc w:val="right"/>
      <w:pPr>
        <w:tabs>
          <w:tab w:val="left" w:pos="3120"/>
        </w:tabs>
        <w:ind w:left="3120" w:hanging="420"/>
      </w:pPr>
      <w:rPr>
        <w:rFonts w:cs="Times New Roman"/>
      </w:rPr>
    </w:lvl>
    <w:lvl w:ilvl="6" w:tentative="0">
      <w:start w:val="1"/>
      <w:numFmt w:val="decimal"/>
      <w:lvlText w:val="%7."/>
      <w:lvlJc w:val="left"/>
      <w:pPr>
        <w:tabs>
          <w:tab w:val="left" w:pos="3540"/>
        </w:tabs>
        <w:ind w:left="3540" w:hanging="420"/>
      </w:pPr>
      <w:rPr>
        <w:rFonts w:cs="Times New Roman"/>
      </w:rPr>
    </w:lvl>
    <w:lvl w:ilvl="7" w:tentative="0">
      <w:start w:val="1"/>
      <w:numFmt w:val="lowerLetter"/>
      <w:lvlText w:val="%8)"/>
      <w:lvlJc w:val="left"/>
      <w:pPr>
        <w:tabs>
          <w:tab w:val="left" w:pos="3960"/>
        </w:tabs>
        <w:ind w:left="3960" w:hanging="420"/>
      </w:pPr>
      <w:rPr>
        <w:rFonts w:cs="Times New Roman"/>
      </w:rPr>
    </w:lvl>
    <w:lvl w:ilvl="8" w:tentative="0">
      <w:start w:val="1"/>
      <w:numFmt w:val="lowerRoman"/>
      <w:lvlText w:val="%9."/>
      <w:lvlJc w:val="right"/>
      <w:pPr>
        <w:tabs>
          <w:tab w:val="left" w:pos="4380"/>
        </w:tabs>
        <w:ind w:left="4380" w:hanging="420"/>
      </w:pPr>
      <w:rPr>
        <w:rFonts w:cs="Times New Roman"/>
      </w:rPr>
    </w:lvl>
  </w:abstractNum>
  <w:abstractNum w:abstractNumId="1">
    <w:nsid w:val="4F3329BA"/>
    <w:multiLevelType w:val="multilevel"/>
    <w:tmpl w:val="4F3329BA"/>
    <w:lvl w:ilvl="0" w:tentative="0">
      <w:start w:val="1"/>
      <w:numFmt w:val="decimal"/>
      <w:lvlText w:val="（%1）"/>
      <w:lvlJc w:val="left"/>
      <w:pPr>
        <w:ind w:left="420" w:hanging="420"/>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8B0A83"/>
    <w:rsid w:val="002F3E86"/>
    <w:rsid w:val="003E1D1F"/>
    <w:rsid w:val="008B0A83"/>
    <w:rsid w:val="008B43F3"/>
    <w:rsid w:val="00BC0FF1"/>
    <w:rsid w:val="6C04742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rules v:ext="edit">
        <o:r id="V:Rule1" type="connector" idref="#_x0000_s1031"/>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5"/>
    <w:qFormat/>
    <w:uiPriority w:val="99"/>
    <w:rPr>
      <w:rFonts w:hint="eastAsia" w:ascii="宋体" w:hAnsi="Courier New"/>
    </w:rPr>
  </w:style>
  <w:style w:type="paragraph" w:styleId="3">
    <w:name w:val="Balloon Text"/>
    <w:basedOn w:val="1"/>
    <w:link w:val="9"/>
    <w:semiHidden/>
    <w:uiPriority w:val="99"/>
    <w:rPr>
      <w:sz w:val="18"/>
      <w:szCs w:val="18"/>
    </w:rPr>
  </w:style>
  <w:style w:type="paragraph" w:styleId="4">
    <w:name w:val="footer"/>
    <w:basedOn w:val="1"/>
    <w:link w:val="10"/>
    <w:semiHidden/>
    <w:qFormat/>
    <w:uiPriority w:val="99"/>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rFonts w:ascii="Calibri" w:hAnsi="Calibri"/>
      <w:kern w:val="0"/>
      <w:sz w:val="18"/>
      <w:szCs w:val="18"/>
    </w:rPr>
  </w:style>
  <w:style w:type="table" w:styleId="7">
    <w:name w:val="Table Grid"/>
    <w:basedOn w:val="6"/>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批注框文本 Char"/>
    <w:link w:val="3"/>
    <w:semiHidden/>
    <w:locked/>
    <w:uiPriority w:val="99"/>
    <w:rPr>
      <w:rFonts w:ascii="Times New Roman" w:hAnsi="Times New Roman" w:eastAsia="宋体" w:cs="Times New Roman"/>
      <w:sz w:val="18"/>
      <w:szCs w:val="18"/>
    </w:rPr>
  </w:style>
  <w:style w:type="character" w:customStyle="1" w:styleId="10">
    <w:name w:val="页脚 Char"/>
    <w:link w:val="4"/>
    <w:semiHidden/>
    <w:qFormat/>
    <w:locked/>
    <w:uiPriority w:val="99"/>
    <w:rPr>
      <w:rFonts w:ascii="Times New Roman" w:hAnsi="Times New Roman" w:eastAsia="宋体" w:cs="Times New Roman"/>
      <w:sz w:val="18"/>
      <w:szCs w:val="18"/>
    </w:rPr>
  </w:style>
  <w:style w:type="character" w:customStyle="1" w:styleId="11">
    <w:name w:val="页眉 Char"/>
    <w:link w:val="5"/>
    <w:locked/>
    <w:uiPriority w:val="0"/>
    <w:rPr>
      <w:sz w:val="18"/>
    </w:rPr>
  </w:style>
  <w:style w:type="character" w:customStyle="1" w:styleId="12">
    <w:name w:val="页眉 Char1"/>
    <w:semiHidden/>
    <w:qFormat/>
    <w:uiPriority w:val="99"/>
    <w:rPr>
      <w:rFonts w:ascii="Times New Roman" w:hAnsi="Times New Roman" w:eastAsia="宋体" w:cs="Times New Roman"/>
      <w:sz w:val="18"/>
      <w:szCs w:val="18"/>
    </w:rPr>
  </w:style>
  <w:style w:type="paragraph" w:styleId="13">
    <w:name w:val="List Paragraph"/>
    <w:basedOn w:val="1"/>
    <w:qFormat/>
    <w:uiPriority w:val="99"/>
    <w:pPr>
      <w:ind w:firstLine="420" w:firstLineChars="200"/>
    </w:pPr>
    <w:rPr>
      <w:sz w:val="21"/>
      <w:szCs w:val="24"/>
    </w:rPr>
  </w:style>
  <w:style w:type="character" w:customStyle="1" w:styleId="14">
    <w:name w:val="Char Char1"/>
    <w:qFormat/>
    <w:locked/>
    <w:uiPriority w:val="0"/>
    <w:rPr>
      <w:rFonts w:hint="eastAsia" w:ascii="宋体" w:hAnsi="Courier New" w:eastAsia="宋体"/>
      <w:kern w:val="2"/>
      <w:sz w:val="21"/>
      <w:lang w:val="en-US" w:eastAsia="zh-CN" w:bidi="ar-SA"/>
    </w:rPr>
  </w:style>
  <w:style w:type="character" w:customStyle="1" w:styleId="15">
    <w:name w:val="纯文本 Char"/>
    <w:basedOn w:val="8"/>
    <w:link w:val="2"/>
    <w:qFormat/>
    <w:uiPriority w:val="99"/>
    <w:rPr>
      <w:rFonts w:ascii="宋体" w:hAnsi="Courier New"/>
      <w:kern w:val="2"/>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9"/>
    <customShpInfo spid="_x0000_s1031"/>
    <customShpInfo spid="_x0000_s103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9</Pages>
  <Words>1192</Words>
  <Characters>6795</Characters>
  <Lines>56</Lines>
  <Paragraphs>15</Paragraphs>
  <TotalTime>1</TotalTime>
  <ScaleCrop>false</ScaleCrop>
  <LinksUpToDate>false</LinksUpToDate>
  <CharactersWithSpaces>7972</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2016-02-29T05:10:00Z</dcterms:created>
  <dc:creator>微软用户</dc:creator>
  <cp:lastModifiedBy>小冉</cp:lastModifiedBy>
  <cp:lastPrinted>2019-04-18T08:15:00Z</cp:lastPrinted>
  <dcterms:modified xsi:type="dcterms:W3CDTF">2021-04-28T07:40:08Z</dcterms:modified>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CF38420AF7824EC1844B98A3744E6408</vt:lpwstr>
  </property>
</Properties>
</file>