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西南石油大学</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9"/>
          <w:rFonts w:hint="eastAsia" w:ascii="楷体" w:hAnsi="楷体" w:eastAsia="楷体"/>
          <w:b/>
          <w:sz w:val="36"/>
          <w:szCs w:val="36"/>
        </w:rPr>
        <w:t>www.china-isc.org.cn</w:t>
      </w:r>
      <w:r>
        <w:fldChar w:fldCharType="end"/>
      </w:r>
    </w:p>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6"/>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张心</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陈伟</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GB/T19001-2016/ISO9001:2015</w:t>
      </w:r>
      <w:bookmarkEnd w:id="4"/>
      <w:r>
        <w:rPr>
          <w:rFonts w:hint="eastAsia" w:ascii="宋体" w:hAnsi="宋体"/>
          <w:b/>
          <w:color w:val="000000" w:themeColor="text1"/>
          <w:sz w:val="26"/>
          <w:szCs w:val="26"/>
        </w:rPr>
        <w:t>四、受审核方基本信息</w:t>
      </w:r>
    </w:p>
    <w:tbl>
      <w:tblPr>
        <w:tblStyle w:val="6"/>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西南石油大学</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35</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四川省成都市新都区新都大道8号</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610500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四川省成都市新都区新都大道8号</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610500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唐鋆磊</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028-83037323</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赵金州</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唐鋆磊</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油气开发、能源动力和海洋装备的材料及制造技术研发</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34.06.00</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2020-07-10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eastAsia="zh-CN"/>
              </w:rPr>
              <w:t>后勤办公室</w:t>
            </w:r>
          </w:p>
        </w:tc>
        <w:tc>
          <w:tcPr>
            <w:tcW w:w="6804" w:type="dxa"/>
          </w:tcPr>
          <w:p>
            <w:pPr>
              <w:jc w:val="center"/>
              <w:rPr>
                <w:rFonts w:ascii="宋体" w:hAnsi="宋体"/>
                <w:b/>
                <w:color w:val="000000" w:themeColor="text1"/>
                <w:spacing w:val="-20"/>
                <w:sz w:val="20"/>
                <w:szCs w:val="20"/>
                <w:u w:val="single"/>
              </w:rPr>
            </w:pPr>
            <w:r>
              <w:rPr>
                <w:rFonts w:hint="eastAsia" w:ascii="宋体" w:hAnsi="宋体"/>
                <w:b/>
                <w:color w:val="000000" w:themeColor="text1"/>
                <w:sz w:val="20"/>
                <w:szCs w:val="20"/>
              </w:rPr>
              <w:t>方针、目标管理；文件、记录控制程；管理评审；内审管理；人员、部门职能职责和权限；风险识别评价管理；合同管理；采购管理；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eastAsia="zh-CN"/>
              </w:rPr>
              <w:t>科研处</w:t>
            </w:r>
          </w:p>
        </w:tc>
        <w:tc>
          <w:tcPr>
            <w:tcW w:w="6804" w:type="dxa"/>
          </w:tcPr>
          <w:p>
            <w:pPr>
              <w:jc w:val="center"/>
              <w:rPr>
                <w:rFonts w:ascii="宋体" w:hAnsi="宋体"/>
                <w:b/>
                <w:color w:val="000000" w:themeColor="text1"/>
                <w:spacing w:val="-20"/>
                <w:sz w:val="20"/>
                <w:szCs w:val="20"/>
                <w:u w:val="single"/>
              </w:rPr>
            </w:pPr>
            <w:r>
              <w:rPr>
                <w:rFonts w:hint="eastAsia" w:ascii="宋体" w:hAnsi="宋体"/>
                <w:b/>
                <w:color w:val="000000" w:themeColor="text1"/>
                <w:sz w:val="20"/>
                <w:szCs w:val="20"/>
              </w:rPr>
              <w:t>策划管理；过程监控管理；服务过程管理；设备设施管理；监视和测量设备管理；不合格品控制；纠正和预防措施控制；产品验收管理；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7"/>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715"/>
        <w:gridCol w:w="3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715" w:type="dxa"/>
          </w:tcPr>
          <w:p>
            <w:pPr>
              <w:rPr>
                <w:b/>
                <w:color w:val="000000" w:themeColor="text1"/>
                <w:sz w:val="20"/>
                <w:szCs w:val="20"/>
              </w:rPr>
            </w:pPr>
            <w:r>
              <w:rPr>
                <w:rFonts w:hint="eastAsia"/>
                <w:b/>
                <w:color w:val="000000" w:themeColor="text1"/>
                <w:sz w:val="20"/>
                <w:szCs w:val="20"/>
              </w:rPr>
              <w:t>规格</w:t>
            </w:r>
          </w:p>
        </w:tc>
        <w:tc>
          <w:tcPr>
            <w:tcW w:w="3671"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sz w:val="20"/>
              </w:rPr>
              <w:t>油气开发、能源动力和海洋装备的材料及制造技术研发</w:t>
            </w:r>
          </w:p>
        </w:tc>
        <w:tc>
          <w:tcPr>
            <w:tcW w:w="2519" w:type="dxa"/>
          </w:tcPr>
          <w:p>
            <w:pPr>
              <w:rPr>
                <w:b/>
                <w:color w:val="000000" w:themeColor="text1"/>
                <w:sz w:val="20"/>
                <w:szCs w:val="20"/>
              </w:rPr>
            </w:pPr>
          </w:p>
        </w:tc>
        <w:tc>
          <w:tcPr>
            <w:tcW w:w="1715" w:type="dxa"/>
          </w:tcPr>
          <w:p>
            <w:pPr>
              <w:rPr>
                <w:b/>
                <w:color w:val="000000" w:themeColor="text1"/>
                <w:sz w:val="20"/>
                <w:szCs w:val="20"/>
              </w:rPr>
            </w:pPr>
          </w:p>
        </w:tc>
        <w:tc>
          <w:tcPr>
            <w:tcW w:w="3671" w:type="dxa"/>
          </w:tcPr>
          <w:p>
            <w:pPr>
              <w:rPr>
                <w:b/>
                <w:color w:val="000000" w:themeColor="text1"/>
                <w:sz w:val="20"/>
                <w:szCs w:val="20"/>
              </w:rPr>
            </w:pPr>
            <w:r>
              <w:rPr>
                <w:rFonts w:hint="eastAsia" w:ascii="宋体" w:hAnsi="宋体"/>
                <w:sz w:val="21"/>
                <w:szCs w:val="21"/>
              </w:rPr>
              <w:t>油田采出水处理用缓蚀剂性能指标及评价方法 SY/T 5273-2014、酸化用缓蚀剂性能试验方法及评价指标 SY/T 5405-2019、人造气氛腐蚀实验 盐雾 GB/T 10125-2012、海上油气井油管和套管防腐设计指南 QHS 14015-2012、色漆和清漆 耐中性盐雾性能的测定 GBT 1771-2007等标准及依据顾客技术要求</w:t>
            </w: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7</w:t>
      </w:r>
      <w:r>
        <w:rPr>
          <w:rFonts w:hint="eastAsia"/>
          <w:b/>
          <w:color w:val="000000" w:themeColor="text1"/>
          <w:spacing w:val="-10"/>
          <w:szCs w:val="21"/>
        </w:rPr>
        <w:t>月</w:t>
      </w:r>
      <w:bookmarkStart w:id="20" w:name="OLE_LINK1"/>
      <w:r>
        <w:rPr>
          <w:rFonts w:hint="eastAsia"/>
          <w:b/>
          <w:color w:val="000000" w:themeColor="text1"/>
          <w:spacing w:val="-10"/>
          <w:szCs w:val="21"/>
          <w:lang w:val="en-US" w:eastAsia="zh-CN"/>
        </w:rPr>
        <w:t>10</w:t>
      </w:r>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color w:val="000000" w:themeColor="text1"/>
          <w:spacing w:val="-10"/>
          <w:szCs w:val="21"/>
          <w:lang w:val="en-US" w:eastAsia="zh-CN"/>
        </w:rPr>
        <w:t>2021</w:t>
      </w:r>
      <w:r>
        <w:rPr>
          <w:rFonts w:hint="eastAsia"/>
          <w:b/>
          <w:color w:val="000000" w:themeColor="text1"/>
          <w:spacing w:val="-10"/>
          <w:szCs w:val="21"/>
        </w:rPr>
        <w:t>年</w:t>
      </w:r>
      <w:r>
        <w:rPr>
          <w:rFonts w:hint="eastAsia"/>
          <w:b/>
          <w:color w:val="000000" w:themeColor="text1"/>
          <w:spacing w:val="-10"/>
          <w:szCs w:val="21"/>
          <w:lang w:val="en-US" w:eastAsia="zh-CN"/>
        </w:rPr>
        <w:t>4</w:t>
      </w:r>
      <w:r>
        <w:rPr>
          <w:rFonts w:hint="eastAsia"/>
          <w:b/>
          <w:color w:val="000000" w:themeColor="text1"/>
          <w:spacing w:val="-10"/>
          <w:szCs w:val="21"/>
        </w:rPr>
        <w:t>月</w:t>
      </w:r>
      <w:r>
        <w:rPr>
          <w:rFonts w:hint="eastAsia"/>
          <w:b/>
          <w:color w:val="000000" w:themeColor="text1"/>
          <w:spacing w:val="-10"/>
          <w:szCs w:val="21"/>
          <w:lang w:val="en-US" w:eastAsia="zh-CN"/>
        </w:rPr>
        <w:t>30</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rFonts w:hint="eastAsia"/>
                <w:b/>
                <w:color w:val="000000" w:themeColor="text1"/>
                <w:sz w:val="20"/>
                <w:szCs w:val="20"/>
                <w:lang w:val="en-US" w:eastAsia="zh-CN"/>
              </w:rPr>
            </w:pPr>
            <w:r>
              <w:rPr>
                <w:b/>
                <w:color w:val="000000" w:themeColor="text1"/>
                <w:sz w:val="20"/>
                <w:szCs w:val="20"/>
              </w:rPr>
              <w:t>1、</w:t>
            </w:r>
            <w:r>
              <w:rPr>
                <w:rFonts w:hint="eastAsia"/>
                <w:b/>
                <w:color w:val="000000" w:themeColor="text1"/>
                <w:sz w:val="20"/>
                <w:szCs w:val="20"/>
              </w:rPr>
              <w:t>组织及其环境的识别情况</w:t>
            </w:r>
            <w:r>
              <w:rPr>
                <w:rFonts w:hint="eastAsia"/>
                <w:b/>
                <w:color w:val="000000" w:themeColor="text1"/>
                <w:sz w:val="20"/>
                <w:szCs w:val="20"/>
                <w:lang w:val="en-US" w:eastAsia="zh-CN"/>
              </w:rPr>
              <w:t xml:space="preserve">    </w:t>
            </w:r>
          </w:p>
          <w:p>
            <w:pPr>
              <w:spacing w:line="240" w:lineRule="exact"/>
              <w:rPr>
                <w:rFonts w:hint="default"/>
                <w:b/>
                <w:color w:val="000000" w:themeColor="text1"/>
                <w:sz w:val="20"/>
                <w:szCs w:val="20"/>
                <w:lang w:val="en-US" w:eastAsia="zh-CN"/>
              </w:rPr>
            </w:pPr>
            <w:r>
              <w:rPr>
                <w:rFonts w:hint="eastAsia" w:ascii="宋体" w:hAnsi="宋体"/>
                <w:color w:val="000000" w:themeColor="text1"/>
              </w:rPr>
              <w:t>组织对内外部因素、相关方需求和期望进行了充分的识别，策划和实施有效。组织确定了体系的边界，基本适用。管理体系全条款适用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rFonts w:hint="eastAsia"/>
                <w:b/>
                <w:color w:val="000000" w:themeColor="text1"/>
                <w:sz w:val="20"/>
                <w:szCs w:val="20"/>
                <w:lang w:val="en-US" w:eastAsia="zh-CN"/>
              </w:rPr>
            </w:pPr>
            <w:r>
              <w:rPr>
                <w:b/>
                <w:color w:val="000000" w:themeColor="text1"/>
                <w:sz w:val="20"/>
                <w:szCs w:val="20"/>
              </w:rPr>
              <w:t>2、</w:t>
            </w:r>
            <w:r>
              <w:rPr>
                <w:rFonts w:hint="eastAsia"/>
                <w:b/>
                <w:color w:val="000000" w:themeColor="text1"/>
                <w:sz w:val="20"/>
                <w:szCs w:val="20"/>
              </w:rPr>
              <w:t>相关方需求和期望识别情况</w:t>
            </w:r>
            <w:r>
              <w:rPr>
                <w:rFonts w:hint="eastAsia"/>
                <w:b/>
                <w:color w:val="000000" w:themeColor="text1"/>
                <w:sz w:val="20"/>
                <w:szCs w:val="20"/>
                <w:lang w:val="en-US" w:eastAsia="zh-CN"/>
              </w:rPr>
              <w:t xml:space="preserve">            </w:t>
            </w:r>
          </w:p>
          <w:p>
            <w:pPr>
              <w:spacing w:line="240" w:lineRule="exact"/>
              <w:rPr>
                <w:rFonts w:hint="default"/>
                <w:b/>
                <w:color w:val="000000" w:themeColor="text1"/>
                <w:sz w:val="20"/>
                <w:szCs w:val="20"/>
                <w:lang w:val="en-US" w:eastAsia="zh-CN"/>
              </w:rPr>
            </w:pPr>
            <w:r>
              <w:rPr>
                <w:rFonts w:hint="eastAsia" w:ascii="宋体" w:hAnsi="宋体" w:cs="宋体"/>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2"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lang w:eastAsia="zh-CN"/>
              </w:rPr>
              <w:t>☑</w:t>
            </w:r>
            <w:r>
              <w:rPr>
                <w:rFonts w:hint="eastAsia" w:ascii="宋体" w:hAnsi="宋体"/>
                <w:b/>
                <w:color w:val="000000" w:themeColor="text1"/>
                <w:sz w:val="20"/>
                <w:szCs w:val="20"/>
              </w:rPr>
              <w:t>质量/</w:t>
            </w:r>
            <w:r>
              <w:rPr>
                <w:rFonts w:hint="eastAsia"/>
                <w:b/>
                <w:color w:val="000000" w:themeColor="text1"/>
                <w:spacing w:val="-10"/>
                <w:sz w:val="20"/>
                <w:szCs w:val="20"/>
              </w:rPr>
              <w:t>□</w:t>
            </w:r>
            <w:r>
              <w:rPr>
                <w:rFonts w:hint="eastAsia" w:ascii="宋体" w:hAnsi="宋体"/>
                <w:b/>
                <w:color w:val="000000" w:themeColor="text1"/>
                <w:sz w:val="20"/>
                <w:szCs w:val="20"/>
              </w:rPr>
              <w:t>环境/</w:t>
            </w:r>
            <w:r>
              <w:rPr>
                <w:rFonts w:hint="eastAsia"/>
                <w:b/>
                <w:color w:val="000000" w:themeColor="text1"/>
                <w:spacing w:val="-10"/>
                <w:sz w:val="20"/>
                <w:szCs w:val="20"/>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240" w:lineRule="exact"/>
              <w:ind w:left="199" w:leftChars="95"/>
              <w:rPr>
                <w:b/>
                <w:color w:val="000000" w:themeColor="text1"/>
              </w:rPr>
            </w:pPr>
            <w:r>
              <w:rPr>
                <w:rFonts w:hint="eastAsia"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科技领先，严控质量，持续改进，顾客至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rFonts w:hint="eastAsia"/>
                <w:b/>
                <w:color w:val="000000" w:themeColor="text1"/>
                <w:lang w:val="en-US" w:eastAsia="zh-CN"/>
              </w:rPr>
            </w:pPr>
            <w:r>
              <w:rPr>
                <w:b/>
                <w:color w:val="000000" w:themeColor="text1"/>
              </w:rPr>
              <w:t>4、</w:t>
            </w:r>
            <w:r>
              <w:rPr>
                <w:rFonts w:hint="eastAsia"/>
                <w:b/>
                <w:color w:val="000000" w:themeColor="text1"/>
              </w:rPr>
              <w:t>风险识别与控制策划（QMS）</w:t>
            </w:r>
            <w:r>
              <w:rPr>
                <w:rFonts w:hint="eastAsia"/>
                <w:b/>
                <w:color w:val="000000" w:themeColor="text1"/>
                <w:lang w:val="en-US" w:eastAsia="zh-CN"/>
              </w:rPr>
              <w:t xml:space="preserve">       </w:t>
            </w:r>
          </w:p>
          <w:p>
            <w:pPr>
              <w:spacing w:line="240" w:lineRule="exact"/>
              <w:rPr>
                <w:rFonts w:hint="default"/>
                <w:b/>
                <w:color w:val="000000" w:themeColor="text1"/>
                <w:lang w:val="en-US" w:eastAsia="zh-CN"/>
              </w:rPr>
            </w:pPr>
            <w:r>
              <w:rPr>
                <w:rFonts w:hint="eastAsia" w:ascii="宋体" w:hAnsi="宋体"/>
                <w:color w:val="000000" w:themeColor="text1"/>
              </w:rPr>
              <w:t>制定并实施了相关程序和管理制度</w:t>
            </w:r>
            <w:r>
              <w:rPr>
                <w:rFonts w:ascii="宋体" w:hAnsi="宋体"/>
                <w:color w:val="000000" w:themeColor="text1"/>
              </w:rPr>
              <w:t>，</w:t>
            </w:r>
            <w:r>
              <w:rPr>
                <w:rFonts w:hint="eastAsia" w:ascii="宋体" w:hAnsi="宋体"/>
                <w:color w:val="000000" w:themeColor="text1"/>
                <w:lang w:eastAsia="zh-CN"/>
              </w:rPr>
              <w:t>研发</w:t>
            </w:r>
            <w:r>
              <w:rPr>
                <w:rFonts w:hint="eastAsia" w:ascii="宋体" w:hAnsi="宋体"/>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质量管理体系过程有：油气开发、能源动力和海洋装备的材料及制造技术研发</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w:t>
            </w:r>
          </w:p>
          <w:p>
            <w:pPr>
              <w:tabs>
                <w:tab w:val="left" w:pos="540"/>
              </w:tabs>
              <w:spacing w:line="300" w:lineRule="exact"/>
              <w:ind w:left="201" w:hanging="201" w:hangingChars="100"/>
              <w:rPr>
                <w:rFonts w:hint="eastAsia" w:ascii="宋体" w:hAnsi="宋体" w:eastAsia="宋体"/>
                <w:b/>
                <w:color w:val="000000" w:themeColor="text1"/>
                <w:sz w:val="20"/>
                <w:szCs w:val="20"/>
                <w:u w:val="single"/>
                <w:lang w:eastAsia="zh-CN"/>
              </w:rPr>
            </w:pPr>
            <w:r>
              <w:rPr>
                <w:rFonts w:hint="eastAsia" w:ascii="宋体" w:hAnsi="宋体"/>
                <w:b/>
                <w:color w:val="000000" w:themeColor="text1"/>
                <w:sz w:val="20"/>
                <w:szCs w:val="20"/>
              </w:rPr>
              <w:t>需要确认过程</w:t>
            </w:r>
            <w:r>
              <w:rPr>
                <w:rFonts w:hint="eastAsia" w:ascii="宋体" w:hAnsi="宋体"/>
                <w:b/>
                <w:color w:val="000000" w:themeColor="text1"/>
                <w:sz w:val="20"/>
                <w:szCs w:val="20"/>
                <w:lang w:eastAsia="zh-CN"/>
              </w:rPr>
              <w:t>：</w:t>
            </w:r>
            <w:r>
              <w:rPr>
                <w:rFonts w:hint="eastAsia" w:ascii="宋体" w:hAnsi="宋体"/>
                <w:b/>
                <w:color w:val="000000" w:themeColor="text1"/>
                <w:sz w:val="20"/>
                <w:szCs w:val="20"/>
                <w:u w:val="single"/>
                <w:lang w:eastAsia="zh-CN"/>
              </w:rPr>
              <w:t>研发过程</w:t>
            </w:r>
          </w:p>
          <w:p>
            <w:pPr>
              <w:tabs>
                <w:tab w:val="left" w:pos="540"/>
              </w:tabs>
              <w:spacing w:line="300" w:lineRule="exact"/>
              <w:ind w:left="201" w:hanging="201" w:hangingChars="100"/>
              <w:rPr>
                <w:rFonts w:ascii="宋体" w:hAnsi="宋体"/>
                <w:b/>
                <w:color w:val="000000" w:themeColor="text1"/>
                <w:szCs w:val="21"/>
              </w:rPr>
            </w:pPr>
            <w:r>
              <w:rPr>
                <w:b/>
                <w:color w:val="000000" w:themeColor="text1"/>
                <w:sz w:val="20"/>
                <w:szCs w:val="20"/>
              </w:rPr>
              <w:pict>
                <v:shape id="_x0000_s1025" o:spid="_x0000_s1025" o:spt="32" type="#_x0000_t32" style="position:absolute;left:0pt;margin-left:157.9pt;margin-top:12.75pt;height:0pt;width:261.75pt;z-index:251661312;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1026" o:spid="_x0000_s1026" o:spt="32" type="#_x0000_t32" style="position:absolute;left:0pt;margin-left:55.15pt;margin-top:12.75pt;height:0pt;width:42pt;z-index:251660288;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w:t>
            </w:r>
            <w:r>
              <w:rPr>
                <w:rFonts w:hint="eastAsia" w:ascii="宋体" w:hAnsi="宋体"/>
                <w:b/>
                <w:color w:val="000000" w:themeColor="text1"/>
                <w:sz w:val="20"/>
                <w:szCs w:val="20"/>
                <w:lang w:eastAsia="zh-CN"/>
              </w:rPr>
              <w:t>无</w:t>
            </w:r>
            <w:r>
              <w:rPr>
                <w:rFonts w:hint="eastAsia" w:ascii="宋体" w:hAnsi="宋体"/>
                <w:b/>
                <w:color w:val="000000" w:themeColor="text1"/>
                <w:sz w:val="20"/>
                <w:szCs w:val="20"/>
              </w:rPr>
              <w:t xml:space="preserve">  ，不适用理由：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hint="eastAsia"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rPr>
                <w:rFonts w:hint="eastAsia" w:eastAsia="宋体"/>
                <w:b/>
                <w:color w:val="000000" w:themeColor="text1"/>
                <w:sz w:val="20"/>
                <w:szCs w:val="20"/>
                <w:lang w:val="en-US" w:eastAsia="zh-CN"/>
              </w:rPr>
            </w:pPr>
            <w:r>
              <w:rPr>
                <w:rFonts w:hint="eastAsia" w:ascii="宋体" w:hAnsi="宋体"/>
                <w:b/>
                <w:color w:val="000000" w:themeColor="text1"/>
                <w:spacing w:val="-8"/>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lang w:val="en-US" w:eastAsia="zh-CN"/>
              </w:rPr>
              <w:t>8</w:t>
            </w:r>
            <w:r>
              <w:rPr>
                <w:rFonts w:hint="eastAsia"/>
                <w:b/>
                <w:color w:val="000000" w:themeColor="text1"/>
                <w:szCs w:val="21"/>
              </w:rPr>
              <w:t xml:space="preserve">.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0"/>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lang w:eastAsia="zh-CN"/>
              </w:rPr>
              <w:t>☑</w:t>
            </w:r>
            <w:r>
              <w:rPr>
                <w:rFonts w:hint="eastAsia" w:ascii="宋体" w:hAnsi="宋体"/>
                <w:b/>
                <w:color w:val="000000" w:themeColor="text1"/>
                <w:szCs w:val="21"/>
              </w:rPr>
              <w:t>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0"/>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lang w:eastAsia="zh-CN"/>
              </w:rPr>
              <w:t>☑</w:t>
            </w:r>
            <w:r>
              <w:rPr>
                <w:rFonts w:hint="eastAsia" w:ascii="宋体" w:hAnsi="宋体"/>
                <w:b/>
                <w:color w:val="000000" w:themeColor="text1"/>
                <w:szCs w:val="21"/>
              </w:rPr>
              <w:t>产品/服务□环境因素□危险源，</w:t>
            </w:r>
            <w:r>
              <w:rPr>
                <w:rFonts w:hint="eastAsia" w:ascii="宋体" w:hAnsi="宋体"/>
                <w:b/>
                <w:color w:val="000000" w:themeColor="text1"/>
                <w:szCs w:val="21"/>
                <w:lang w:eastAsia="zh-CN"/>
              </w:rPr>
              <w:t>☑</w:t>
            </w:r>
            <w:r>
              <w:rPr>
                <w:rFonts w:hint="eastAsia" w:ascii="宋体" w:hAnsi="宋体"/>
                <w:b/>
                <w:color w:val="000000" w:themeColor="text1"/>
                <w:szCs w:val="21"/>
              </w:rPr>
              <w:t>确定 □未确定法律法规要求的具体条款，</w:t>
            </w:r>
          </w:p>
          <w:p>
            <w:pPr>
              <w:pStyle w:val="10"/>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0"/>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lang w:val="en-US" w:eastAsia="zh-CN"/>
              </w:rPr>
              <w:t>9</w:t>
            </w:r>
            <w:r>
              <w:rPr>
                <w:rFonts w:hint="eastAsia"/>
                <w:b/>
                <w:color w:val="000000" w:themeColor="text1"/>
                <w:szCs w:val="21"/>
              </w:rPr>
              <w:t xml:space="preserve">.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240" w:lineRule="exact"/>
              <w:rPr>
                <w:rFonts w:hint="eastAsia" w:ascii="宋体" w:hAnsi="宋体"/>
                <w:color w:val="000000" w:themeColor="text1"/>
              </w:rPr>
            </w:pPr>
            <w:r>
              <w:rPr>
                <w:rFonts w:hint="eastAsia" w:ascii="宋体" w:hAnsi="宋体"/>
                <w:color w:val="000000" w:themeColor="text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spacing w:line="240" w:lineRule="exact"/>
              <w:rPr>
                <w:rFonts w:hint="eastAsia" w:ascii="宋体" w:hAnsi="宋体"/>
                <w:color w:val="000000" w:themeColor="text1"/>
              </w:rPr>
            </w:pPr>
            <w:r>
              <w:rPr>
                <w:rFonts w:hint="eastAsia" w:ascii="宋体" w:hAnsi="宋体"/>
                <w:color w:val="000000" w:themeColor="text1"/>
              </w:rPr>
              <w:t>质量目标：</w:t>
            </w:r>
          </w:p>
          <w:p>
            <w:pPr>
              <w:spacing w:line="240" w:lineRule="exact"/>
              <w:rPr>
                <w:rFonts w:hint="eastAsia" w:ascii="宋体" w:hAnsi="宋体"/>
                <w:color w:val="000000" w:themeColor="text1"/>
              </w:rPr>
            </w:pPr>
            <w:r>
              <w:rPr>
                <w:rFonts w:hint="eastAsia" w:ascii="宋体" w:hAnsi="宋体"/>
                <w:color w:val="000000" w:themeColor="text1"/>
              </w:rPr>
              <w:t>1、产品研发一次验证合格率≥90%；</w:t>
            </w:r>
          </w:p>
          <w:p>
            <w:pPr>
              <w:spacing w:line="240" w:lineRule="exact"/>
              <w:rPr>
                <w:rFonts w:ascii="宋体" w:hAnsi="宋体"/>
                <w:b/>
                <w:color w:val="000000" w:themeColor="text1"/>
              </w:rPr>
            </w:pPr>
            <w:r>
              <w:rPr>
                <w:rFonts w:hint="eastAsia" w:ascii="宋体" w:hAnsi="宋体"/>
                <w:color w:val="000000" w:themeColor="text1"/>
              </w:rPr>
              <w:t>2、 顾客满意率≥98%。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lang w:val="en-US" w:eastAsia="zh-CN"/>
              </w:rPr>
              <w:t>10</w:t>
            </w:r>
            <w:r>
              <w:rPr>
                <w:rFonts w:hint="eastAsia"/>
                <w:b/>
                <w:color w:val="000000" w:themeColor="text1"/>
                <w:sz w:val="20"/>
                <w:szCs w:val="20"/>
              </w:rPr>
              <w:t>.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rPr>
              <w:t>质量管理</w:t>
            </w:r>
            <w:r>
              <w:rPr>
                <w:rFonts w:hint="eastAsia" w:ascii="宋体" w:hAnsi="宋体" w:cs="宋体"/>
                <w:color w:val="000000" w:themeColor="text1"/>
              </w:rPr>
              <w:t>体系文件，体系文件对管理体系各过程进行了识别确定、明确了各要素间的相互关系及其管控要求。公司体系文件于</w:t>
            </w:r>
            <w:r>
              <w:rPr>
                <w:rFonts w:hint="eastAsia" w:ascii="宋体" w:hAnsi="宋体" w:cs="Arial"/>
                <w:color w:val="000000" w:themeColor="text1"/>
              </w:rPr>
              <w:t>2020</w:t>
            </w:r>
            <w:r>
              <w:rPr>
                <w:rFonts w:hint="eastAsia" w:ascii="宋体" w:hAnsi="宋体" w:cs="宋体"/>
                <w:color w:val="000000" w:themeColor="text1"/>
              </w:rPr>
              <w:t>年</w:t>
            </w:r>
            <w:r>
              <w:rPr>
                <w:rFonts w:hint="eastAsia" w:ascii="宋体" w:hAnsi="宋体" w:cs="宋体"/>
                <w:color w:val="000000" w:themeColor="text1"/>
                <w:lang w:val="en-US" w:eastAsia="zh-CN"/>
              </w:rPr>
              <w:t>7</w:t>
            </w:r>
            <w:r>
              <w:rPr>
                <w:rFonts w:hint="eastAsia" w:ascii="宋体" w:hAnsi="宋体" w:cs="宋体"/>
                <w:color w:val="000000" w:themeColor="text1"/>
              </w:rPr>
              <w:t>月10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540"/>
              </w:tabs>
              <w:spacing w:line="240" w:lineRule="exact"/>
              <w:ind w:left="210" w:hanging="210" w:hangingChars="100"/>
              <w:rPr>
                <w:rFonts w:hint="eastAsia" w:ascii="宋体" w:hAnsi="宋体" w:cs="宋体"/>
                <w:color w:val="000000" w:themeColor="text1"/>
              </w:rPr>
            </w:pPr>
            <w:r>
              <w:rPr>
                <w:rFonts w:hint="eastAsia" w:ascii="宋体" w:hAnsi="宋体" w:cs="宋体"/>
                <w:color w:val="000000" w:themeColor="text1"/>
              </w:rPr>
              <w:t>组织按管理体系需求配置了充足的人员、设施、监视和测量设备等资源，并建立维持了产品的</w:t>
            </w:r>
            <w:r>
              <w:rPr>
                <w:rFonts w:hint="eastAsia" w:ascii="宋体" w:hAnsi="宋体" w:cs="宋体"/>
                <w:color w:val="000000" w:themeColor="text1"/>
                <w:lang w:eastAsia="zh-CN"/>
              </w:rPr>
              <w:t>研发</w:t>
            </w:r>
            <w:r>
              <w:rPr>
                <w:rFonts w:hint="eastAsia" w:ascii="宋体" w:hAnsi="宋体" w:cs="宋体"/>
                <w:color w:val="000000" w:themeColor="text1"/>
              </w:rPr>
              <w:t>及相关服务运行环境，可以维持管理体系的正常运行。</w:t>
            </w:r>
          </w:p>
          <w:p>
            <w:pPr>
              <w:tabs>
                <w:tab w:val="left" w:pos="540"/>
              </w:tabs>
              <w:spacing w:line="240" w:lineRule="exact"/>
              <w:rPr>
                <w:rFonts w:ascii="宋体" w:hAnsi="宋体"/>
                <w:b/>
                <w:color w:val="000000" w:themeColor="text1"/>
                <w:sz w:val="20"/>
                <w:szCs w:val="20"/>
              </w:rPr>
            </w:pPr>
            <w:r>
              <w:rPr>
                <w:rFonts w:hint="eastAsia" w:ascii="宋体" w:hAnsi="宋体" w:cs="宋体"/>
                <w:color w:val="000000" w:themeColor="text1"/>
              </w:rPr>
              <w:t>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2"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240" w:lineRule="exact"/>
              <w:rPr>
                <w:rFonts w:ascii="宋体" w:hAnsi="宋体"/>
                <w:b/>
                <w:color w:val="000000" w:themeColor="text1"/>
                <w:sz w:val="20"/>
                <w:szCs w:val="20"/>
              </w:rPr>
            </w:pPr>
            <w:r>
              <w:rPr>
                <w:rFonts w:hint="eastAsia" w:ascii="宋体" w:hAnsi="宋体"/>
                <w:bCs/>
                <w:iCs/>
                <w:color w:val="000000" w:themeColor="text1"/>
              </w:rPr>
              <w:t>办公室面积</w:t>
            </w:r>
            <w:r>
              <w:rPr>
                <w:rFonts w:hint="eastAsia" w:ascii="宋体" w:hAnsi="宋体"/>
                <w:bCs/>
                <w:iCs/>
                <w:color w:val="000000" w:themeColor="text1"/>
                <w:lang w:val="en-US" w:eastAsia="zh-CN"/>
              </w:rPr>
              <w:t>200</w:t>
            </w:r>
            <w:r>
              <w:rPr>
                <w:rFonts w:hint="eastAsia" w:ascii="宋体" w:hAnsi="宋体"/>
                <w:bCs/>
                <w:iCs/>
                <w:color w:val="000000" w:themeColor="text1"/>
              </w:rPr>
              <w:t>平方米左右，主要设备包括：台式计算机，笔记本电脑，打印机，可以满足</w:t>
            </w:r>
            <w:r>
              <w:rPr>
                <w:rFonts w:hint="eastAsia" w:ascii="宋体" w:hAnsi="宋体"/>
                <w:bCs/>
                <w:iCs/>
                <w:color w:val="000000" w:themeColor="text1"/>
                <w:lang w:eastAsia="zh-CN"/>
              </w:rPr>
              <w:t>研发</w:t>
            </w:r>
            <w:r>
              <w:rPr>
                <w:rFonts w:hint="eastAsia" w:ascii="宋体" w:hAnsi="宋体"/>
                <w:bCs/>
                <w:iCs/>
                <w:color w:val="000000" w:themeColor="text1"/>
              </w:rPr>
              <w:t>需要。对设备按月方式进行维护保养，并实施。特种设备：无，公司未建立信息管理系统用于</w:t>
            </w:r>
            <w:r>
              <w:rPr>
                <w:rFonts w:hint="eastAsia" w:ascii="宋体" w:hAnsi="宋体"/>
                <w:bCs/>
                <w:iCs/>
                <w:color w:val="000000" w:themeColor="text1"/>
                <w:lang w:eastAsia="zh-CN"/>
              </w:rPr>
              <w:t>研发</w:t>
            </w:r>
            <w:r>
              <w:rPr>
                <w:rFonts w:hint="eastAsia" w:ascii="宋体" w:hAnsi="宋体"/>
                <w:bCs/>
                <w:iCs/>
                <w:color w:val="000000" w:themeColor="text1"/>
              </w:rPr>
              <w:t>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rPr>
                <w:rFonts w:ascii="宋体" w:hAnsi="宋体"/>
                <w:b/>
                <w:color w:val="000000" w:themeColor="text1"/>
                <w:sz w:val="20"/>
                <w:szCs w:val="20"/>
              </w:rPr>
            </w:pPr>
            <w:r>
              <w:rPr>
                <w:rFonts w:hint="eastAsia" w:ascii="宋体" w:hAnsi="宋体" w:cs="宋体"/>
                <w:szCs w:val="21"/>
              </w:rPr>
              <w:t>办公室内设备布置合理，通道畅通，照明设施齐全，均配备了消防设施等设施。办公室明亮，作业场所光线较充足。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ascii="宋体" w:hAnsi="宋体"/>
                <w:b/>
                <w:color w:val="000000" w:themeColor="text1"/>
                <w:sz w:val="20"/>
                <w:szCs w:val="20"/>
              </w:rPr>
            </w:pPr>
            <w:r>
              <w:rPr>
                <w:rFonts w:hint="eastAsia" w:ascii="宋体" w:hAnsi="宋体"/>
                <w:b/>
                <w:color w:val="000000" w:themeColor="text1"/>
                <w:sz w:val="20"/>
                <w:szCs w:val="20"/>
              </w:rPr>
              <w:t>监视和测量资源</w:t>
            </w:r>
          </w:p>
          <w:p>
            <w:pPr>
              <w:spacing w:line="240" w:lineRule="exact"/>
              <w:rPr>
                <w:rFonts w:hint="eastAsia" w:ascii="宋体" w:hAnsi="宋体"/>
                <w:b/>
                <w:color w:val="000000" w:themeColor="text1"/>
                <w:sz w:val="20"/>
                <w:szCs w:val="20"/>
              </w:rPr>
            </w:pPr>
            <w:r>
              <w:rPr>
                <w:rFonts w:hint="eastAsia" w:ascii="宋体" w:hAnsi="宋体" w:cs="宋体"/>
                <w:color w:val="000000" w:themeColor="text1"/>
                <w:szCs w:val="21"/>
              </w:rPr>
              <w:t>检验部门均按策划的要求配置了相应的检测设备，均采用委外送检的方式。抽在用检具的检定或校准证书能提供在用检具的有效检定或校准证据。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240" w:lineRule="exact"/>
              <w:rPr>
                <w:rFonts w:hint="eastAsia" w:ascii="宋体" w:hAnsi="宋体" w:cs="宋体"/>
                <w:szCs w:val="21"/>
              </w:rPr>
            </w:pPr>
            <w:r>
              <w:rPr>
                <w:rFonts w:hint="eastAsia" w:ascii="宋体" w:hAnsi="宋体" w:cs="宋体"/>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240" w:lineRule="exact"/>
              <w:rPr>
                <w:rFonts w:ascii="宋体" w:hAnsi="宋体"/>
                <w:b/>
                <w:color w:val="000000" w:themeColor="text1"/>
                <w:sz w:val="20"/>
                <w:szCs w:val="20"/>
              </w:rPr>
            </w:pPr>
            <w:r>
              <w:rPr>
                <w:rFonts w:hint="eastAsia" w:ascii="宋体" w:hAnsi="宋体" w:cs="宋体"/>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ascii="宋体" w:hAnsi="宋体"/>
                <w:b/>
                <w:color w:val="000000" w:themeColor="text1"/>
                <w:sz w:val="20"/>
                <w:szCs w:val="20"/>
              </w:rPr>
            </w:pPr>
            <w:r>
              <w:rPr>
                <w:rFonts w:hint="eastAsia" w:ascii="宋体" w:hAnsi="宋体"/>
                <w:b/>
                <w:color w:val="000000" w:themeColor="text1"/>
                <w:sz w:val="20"/>
                <w:szCs w:val="20"/>
              </w:rPr>
              <w:t>职业健康安全设施：</w:t>
            </w:r>
          </w:p>
          <w:p>
            <w:pPr>
              <w:spacing w:line="240" w:lineRule="exact"/>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rFonts w:hint="eastAsia"/>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hint="eastAsia" w:ascii="楷体_GB2312" w:eastAsia="楷体_GB2312"/>
                <w:b/>
                <w:color w:val="000000" w:themeColor="text1"/>
                <w:sz w:val="20"/>
                <w:szCs w:val="20"/>
                <w:lang w:val="en-US" w:eastAsia="zh-CN"/>
              </w:rPr>
            </w:pPr>
            <w:r>
              <w:rPr>
                <w:rFonts w:hint="eastAsia" w:ascii="楷体_GB2312" w:eastAsia="楷体_GB2312"/>
                <w:b/>
                <w:color w:val="000000" w:themeColor="text1"/>
                <w:sz w:val="20"/>
                <w:szCs w:val="20"/>
              </w:rPr>
              <w:t xml:space="preserve">                内部沟通的效果：</w:t>
            </w:r>
            <w:r>
              <w:rPr>
                <w:rFonts w:hint="eastAsia" w:ascii="楷体_GB2312" w:eastAsia="楷体_GB2312"/>
                <w:b/>
                <w:color w:val="000000" w:themeColor="text1"/>
                <w:sz w:val="20"/>
                <w:szCs w:val="20"/>
                <w:lang w:eastAsia="zh-CN"/>
              </w:rPr>
              <w:t>良好</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w:t>
            </w:r>
            <w:r>
              <w:rPr>
                <w:rFonts w:hint="eastAsia" w:ascii="宋体" w:hAnsi="宋体" w:cs="宋体"/>
                <w:color w:val="000000"/>
                <w:szCs w:val="21"/>
              </w:rPr>
              <w:t>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rPr>
                <w:b/>
                <w:color w:val="000000" w:themeColor="text1"/>
                <w:sz w:val="20"/>
                <w:szCs w:val="20"/>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研发及服务过程，从审核过程看，公司的产品质量管理基本受控。</w:t>
            </w:r>
            <w:r>
              <w:rPr>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300" w:lineRule="exact"/>
              <w:rPr>
                <w:b/>
                <w:color w:val="000000" w:themeColor="text1"/>
                <w:sz w:val="20"/>
                <w:szCs w:val="20"/>
              </w:rPr>
            </w:pPr>
            <w:r>
              <w:rPr>
                <w:rFonts w:hint="eastAsia" w:ascii="宋体" w:hAnsi="宋体" w:cs="宋体"/>
                <w:color w:val="000000"/>
                <w:szCs w:val="21"/>
              </w:rPr>
              <w:t>制定并实施了产品</w:t>
            </w:r>
            <w:r>
              <w:rPr>
                <w:rFonts w:hint="eastAsia" w:ascii="宋体" w:hAnsi="宋体" w:cs="宋体"/>
                <w:color w:val="000000"/>
                <w:szCs w:val="21"/>
                <w:lang w:val="en-US" w:eastAsia="zh-CN"/>
              </w:rPr>
              <w:t>/服务</w:t>
            </w:r>
            <w:r>
              <w:rPr>
                <w:rFonts w:hint="eastAsia" w:ascii="宋体" w:hAnsi="宋体" w:cs="宋体"/>
                <w:color w:val="000000"/>
                <w:szCs w:val="21"/>
              </w:rPr>
              <w:t>检验控制规定，规定了公司各管理层和</w:t>
            </w:r>
            <w:r>
              <w:rPr>
                <w:rFonts w:hint="eastAsia" w:ascii="宋体" w:hAnsi="宋体" w:cs="宋体"/>
                <w:color w:val="000000"/>
                <w:szCs w:val="21"/>
                <w:lang w:eastAsia="zh-CN"/>
              </w:rPr>
              <w:t>相应</w:t>
            </w:r>
            <w:r>
              <w:rPr>
                <w:rFonts w:hint="eastAsia" w:ascii="宋体" w:hAnsi="宋体" w:cs="宋体"/>
                <w:color w:val="000000"/>
                <w:szCs w:val="21"/>
              </w:rPr>
              <w:t>部门在各阶段对产品服务质量实施检查与验收的管理要求。内容基本具备全面性、系统性及可操作性。</w:t>
            </w:r>
            <w:r>
              <w:rPr>
                <w:rFonts w:hint="eastAsia" w:ascii="宋体" w:hAnsi="宋体" w:cs="宋体"/>
                <w:color w:val="000000"/>
                <w:szCs w:val="21"/>
                <w:lang w:eastAsia="zh-CN"/>
              </w:rPr>
              <w:t>材料及制造技术</w:t>
            </w:r>
            <w:r>
              <w:rPr>
                <w:rFonts w:hint="eastAsia" w:ascii="宋体" w:hAnsi="宋体" w:cs="宋体"/>
                <w:color w:val="000000"/>
                <w:szCs w:val="21"/>
              </w:rPr>
              <w:t>质量检查与验收均在出厂前予以实现，范围包括：过程、最终产品。以此保证持续向顾客稳定提供稳定合格的产品</w:t>
            </w:r>
            <w:r>
              <w:rPr>
                <w:rFonts w:hint="eastAsia" w:ascii="宋体" w:hAnsi="宋体" w:cs="宋体"/>
                <w:color w:val="000000"/>
                <w:szCs w:val="21"/>
                <w:lang w:eastAsia="zh-CN"/>
              </w:rPr>
              <w:t>及服务</w:t>
            </w:r>
            <w:r>
              <w:rPr>
                <w:rFonts w:hint="eastAsia" w:ascii="宋体" w:hAnsi="宋体" w:cs="宋体"/>
                <w:color w:val="000000"/>
                <w:szCs w:val="21"/>
              </w:rPr>
              <w:t>。</w:t>
            </w:r>
          </w:p>
          <w:p>
            <w:pPr>
              <w:spacing w:line="240" w:lineRule="exact"/>
              <w:rPr>
                <w:b/>
                <w:color w:val="000000" w:themeColor="text1"/>
                <w:sz w:val="20"/>
                <w:szCs w:val="20"/>
              </w:rPr>
            </w:pPr>
            <w:r>
              <w:rPr>
                <w:rFonts w:hint="eastAsia"/>
                <w:b/>
                <w:color w:val="000000" w:themeColor="text1"/>
                <w:sz w:val="20"/>
                <w:szCs w:val="20"/>
              </w:rPr>
              <w:t>(应说明相关证据)：</w:t>
            </w:r>
            <w:r>
              <w:rPr>
                <w:rFonts w:hint="eastAsia"/>
                <w:color w:val="000000" w:themeColor="text1"/>
                <w:sz w:val="20"/>
                <w:szCs w:val="20"/>
              </w:rPr>
              <w:t>验收规范、验收记录等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rFonts w:hint="eastAsia" w:eastAsia="宋体"/>
                <w:b/>
                <w:color w:val="000000" w:themeColor="text1"/>
                <w:sz w:val="20"/>
                <w:szCs w:val="20"/>
                <w:lang w:eastAsia="zh-CN"/>
              </w:rPr>
            </w:pPr>
            <w:r>
              <w:rPr>
                <w:rFonts w:hint="eastAsia"/>
                <w:b/>
                <w:color w:val="000000" w:themeColor="text1"/>
                <w:sz w:val="20"/>
                <w:szCs w:val="20"/>
                <w:lang w:eastAsia="zh-CN"/>
              </w:rPr>
              <w:t>无</w:t>
            </w: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rPr>
                <w:b/>
                <w:color w:val="000000" w:themeColor="text1"/>
                <w:sz w:val="20"/>
                <w:szCs w:val="20"/>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color w:val="000000" w:themeColor="text1"/>
                <w:sz w:val="20"/>
                <w:szCs w:val="20"/>
                <w:lang w:val="en-US" w:eastAsia="zh-CN"/>
              </w:rPr>
            </w:pPr>
            <w:r>
              <w:rPr>
                <w:rFonts w:hint="eastAsia"/>
                <w:b/>
                <w:color w:val="000000" w:themeColor="text1"/>
                <w:sz w:val="20"/>
                <w:szCs w:val="20"/>
              </w:rPr>
              <w:t>8. OHSMS组织对不可接受风险实施控制的结果</w:t>
            </w:r>
            <w:r>
              <w:rPr>
                <w:rFonts w:hint="eastAsia"/>
                <w:b/>
                <w:color w:val="000000" w:themeColor="text1"/>
                <w:sz w:val="20"/>
                <w:szCs w:val="20"/>
                <w:lang w:val="en-US" w:eastAsia="zh-CN"/>
              </w:rPr>
              <w:t xml:space="preserve">  </w:t>
            </w:r>
          </w:p>
          <w:p>
            <w:pPr>
              <w:spacing w:line="24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hint="eastAsia" w:eastAsia="宋体"/>
                <w:b/>
                <w:color w:val="000000" w:themeColor="text1"/>
                <w:spacing w:val="-4"/>
                <w:sz w:val="20"/>
                <w:szCs w:val="20"/>
                <w:lang w:val="en-US" w:eastAsia="zh-CN"/>
              </w:rPr>
            </w:pPr>
            <w:r>
              <w:rPr>
                <w:rFonts w:hint="eastAsia"/>
                <w:b/>
                <w:color w:val="000000" w:themeColor="text1"/>
                <w:spacing w:val="-4"/>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对特种设备的维护，检定; </w:t>
            </w:r>
          </w:p>
          <w:p>
            <w:pPr>
              <w:spacing w:line="240" w:lineRule="exact"/>
              <w:rPr>
                <w:b/>
                <w:color w:val="000000" w:themeColor="text1"/>
                <w:sz w:val="20"/>
                <w:szCs w:val="20"/>
              </w:rPr>
            </w:pPr>
            <w:r>
              <w:rPr>
                <w:rFonts w:hint="eastAsia"/>
                <w:b/>
                <w:sz w:val="20"/>
                <w:szCs w:val="20"/>
              </w:rPr>
              <w:t>特种设备：无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color w:val="000000" w:themeColor="text1"/>
                <w:sz w:val="20"/>
                <w:szCs w:val="20"/>
                <w:lang w:val="en-US" w:eastAsia="zh-CN"/>
              </w:rPr>
            </w:pPr>
            <w:r>
              <w:rPr>
                <w:rFonts w:hint="eastAsia"/>
                <w:b/>
                <w:color w:val="000000" w:themeColor="text1"/>
                <w:sz w:val="20"/>
                <w:szCs w:val="20"/>
              </w:rPr>
              <w:t>11 .对危险化学品销售、使用、储存、运输处置，规定的执行力度(必要时);</w:t>
            </w:r>
            <w:r>
              <w:rPr>
                <w:rFonts w:hint="eastAsia"/>
                <w:b/>
                <w:color w:val="000000" w:themeColor="text1"/>
                <w:sz w:val="20"/>
                <w:szCs w:val="20"/>
                <w:lang w:val="en-US" w:eastAsia="zh-CN"/>
              </w:rPr>
              <w:t xml:space="preserve">  </w:t>
            </w:r>
          </w:p>
          <w:p>
            <w:pPr>
              <w:spacing w:line="24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4"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2020年</w:t>
            </w:r>
            <w:r>
              <w:rPr>
                <w:rFonts w:hint="eastAsia" w:ascii="宋体" w:hAnsi="宋体" w:cs="宋体"/>
                <w:color w:val="000000"/>
                <w:szCs w:val="21"/>
                <w:lang w:val="en-US" w:eastAsia="zh-CN"/>
              </w:rPr>
              <w:t>7月</w:t>
            </w:r>
            <w:r>
              <w:rPr>
                <w:rFonts w:hint="eastAsia" w:ascii="宋体" w:hAnsi="宋体" w:cs="宋体"/>
                <w:color w:val="000000"/>
                <w:szCs w:val="21"/>
              </w:rPr>
              <w:t>-</w:t>
            </w:r>
            <w:r>
              <w:rPr>
                <w:rFonts w:hint="eastAsia" w:ascii="宋体" w:hAnsi="宋体" w:cs="宋体"/>
                <w:color w:val="000000"/>
                <w:szCs w:val="21"/>
                <w:lang w:val="en-US" w:eastAsia="zh-CN"/>
              </w:rPr>
              <w:t>2021年4</w:t>
            </w:r>
            <w:r>
              <w:rPr>
                <w:rFonts w:hint="eastAsia" w:ascii="宋体" w:hAnsi="宋体" w:cs="宋体"/>
                <w:color w:val="000000"/>
                <w:szCs w:val="21"/>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6"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rFonts w:hint="eastAsia"/>
                <w:b/>
                <w:color w:val="000000" w:themeColor="text1"/>
                <w:sz w:val="20"/>
                <w:szCs w:val="20"/>
                <w:lang w:val="en-US" w:eastAsia="zh-CN"/>
              </w:rPr>
            </w:pPr>
            <w:r>
              <w:rPr>
                <w:rFonts w:hint="eastAsia"/>
                <w:b/>
                <w:color w:val="000000" w:themeColor="text1"/>
                <w:sz w:val="20"/>
                <w:szCs w:val="20"/>
              </w:rPr>
              <w:t>2.顾客满意</w:t>
            </w:r>
            <w:r>
              <w:rPr>
                <w:rFonts w:hint="eastAsia"/>
                <w:b/>
                <w:color w:val="000000" w:themeColor="text1"/>
                <w:sz w:val="20"/>
                <w:szCs w:val="20"/>
                <w:lang w:val="en-US" w:eastAsia="zh-CN"/>
              </w:rPr>
              <w:t xml:space="preserve"> </w:t>
            </w:r>
          </w:p>
          <w:p>
            <w:pPr>
              <w:spacing w:line="240" w:lineRule="exact"/>
              <w:ind w:left="100" w:hanging="105" w:hangingChars="50"/>
              <w:rPr>
                <w:rFonts w:hint="eastAsia" w:eastAsia="宋体"/>
                <w:b/>
                <w:color w:val="000000" w:themeColor="text1"/>
                <w:sz w:val="20"/>
                <w:szCs w:val="20"/>
                <w:lang w:val="en-US" w:eastAsia="zh-CN"/>
              </w:rPr>
            </w:pPr>
            <w:r>
              <w:rPr>
                <w:rFonts w:hint="eastAsia" w:ascii="宋体" w:hAnsi="宋体" w:cs="宋体"/>
                <w:color w:val="000000"/>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2020年</w:t>
            </w:r>
            <w:r>
              <w:rPr>
                <w:rFonts w:hint="eastAsia" w:ascii="宋体" w:hAnsi="宋体" w:cs="宋体"/>
                <w:color w:val="000000"/>
                <w:szCs w:val="21"/>
                <w:lang w:val="en-US" w:eastAsia="zh-CN"/>
              </w:rPr>
              <w:t>10</w:t>
            </w:r>
            <w:r>
              <w:rPr>
                <w:rFonts w:hint="eastAsia" w:ascii="宋体" w:hAnsi="宋体" w:cs="宋体"/>
                <w:color w:val="000000"/>
                <w:szCs w:val="21"/>
              </w:rPr>
              <w:t>月实施，满意度评价98%，总体实现了顾客满意度的质量目标要求。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4"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000000" w:themeColor="text1"/>
                <w:sz w:val="20"/>
                <w:szCs w:val="20"/>
              </w:rPr>
            </w:pPr>
            <w:r>
              <w:rPr>
                <w:rFonts w:hint="eastAsia" w:ascii="宋体" w:hAnsi="宋体" w:cs="宋体"/>
                <w:color w:val="000000"/>
                <w:szCs w:val="21"/>
              </w:rPr>
              <w:t>建立有《内部审核控制程序》，规定了内审频次一年一次，内审时间：2020年</w:t>
            </w:r>
            <w:r>
              <w:rPr>
                <w:rFonts w:hint="eastAsia" w:ascii="宋体" w:hAnsi="宋体" w:cs="宋体"/>
                <w:color w:val="000000"/>
                <w:szCs w:val="21"/>
                <w:lang w:val="en-US" w:eastAsia="zh-CN"/>
              </w:rPr>
              <w:t>10</w:t>
            </w:r>
            <w:r>
              <w:rPr>
                <w:rFonts w:hint="eastAsia" w:ascii="宋体" w:hAnsi="宋体" w:cs="宋体"/>
                <w:color w:val="000000"/>
                <w:szCs w:val="21"/>
              </w:rPr>
              <w:t>月</w:t>
            </w:r>
            <w:r>
              <w:rPr>
                <w:rFonts w:hint="eastAsia" w:ascii="宋体" w:hAnsi="宋体" w:cs="宋体"/>
                <w:color w:val="000000"/>
                <w:szCs w:val="21"/>
                <w:lang w:val="en-US" w:eastAsia="zh-CN"/>
              </w:rPr>
              <w:t>20</w:t>
            </w:r>
            <w:r>
              <w:rPr>
                <w:rFonts w:hint="eastAsia" w:ascii="宋体" w:hAnsi="宋体" w:cs="宋体"/>
                <w:color w:val="000000"/>
                <w:szCs w:val="21"/>
              </w:rPr>
              <w:t>日，拟定了审核实施表，明确了内审范围，内审人员经培训合格上岗，能力满足要求，未出现审核本部门情况，内审不符合项1项， 涉及</w:t>
            </w:r>
            <w:r>
              <w:rPr>
                <w:rFonts w:hint="eastAsia" w:ascii="宋体" w:hAnsi="宋体" w:cs="宋体"/>
                <w:color w:val="000000"/>
                <w:szCs w:val="21"/>
                <w:lang w:eastAsia="zh-CN"/>
              </w:rPr>
              <w:t>后勤办公室</w:t>
            </w:r>
            <w:r>
              <w:rPr>
                <w:rFonts w:hint="eastAsia" w:ascii="宋体" w:hAnsi="宋体" w:cs="宋体"/>
                <w:color w:val="000000"/>
                <w:szCs w:val="21"/>
              </w:rPr>
              <w:t>不符合标准</w:t>
            </w:r>
            <w:r>
              <w:rPr>
                <w:rFonts w:hint="eastAsia" w:ascii="宋体" w:hAnsi="宋体" w:cs="宋体"/>
                <w:color w:val="000000"/>
                <w:szCs w:val="21"/>
                <w:lang w:val="en-US" w:eastAsia="zh-CN"/>
              </w:rPr>
              <w:t>9.1.2</w:t>
            </w:r>
            <w:r>
              <w:rPr>
                <w:rFonts w:hint="eastAsia" w:ascii="宋体" w:hAnsi="宋体" w:cs="宋体"/>
                <w:color w:val="000000"/>
                <w:szCs w:val="21"/>
              </w:rPr>
              <w:t>条款，针对该不符合项，已及时采取纠正措施后，经内审员验证关闭。内审的有效性需要改善。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8"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r>
              <w:rPr>
                <w:rFonts w:hint="eastAsia" w:ascii="宋体" w:hAnsi="宋体" w:cs="宋体"/>
                <w:szCs w:val="21"/>
              </w:rPr>
              <w:t>管理评审频次为一年一次、本次管理评审于</w:t>
            </w:r>
            <w:r>
              <w:rPr>
                <w:rFonts w:hint="eastAsia" w:ascii="宋体" w:hAnsi="宋体"/>
                <w:kern w:val="0"/>
                <w:szCs w:val="21"/>
              </w:rPr>
              <w:t>2020年</w:t>
            </w:r>
            <w:r>
              <w:rPr>
                <w:rFonts w:hint="eastAsia" w:ascii="宋体" w:hAnsi="宋体"/>
                <w:kern w:val="0"/>
                <w:szCs w:val="21"/>
                <w:lang w:val="en-US" w:eastAsia="zh-CN"/>
              </w:rPr>
              <w:t>10</w:t>
            </w:r>
            <w:r>
              <w:rPr>
                <w:rFonts w:hint="eastAsia" w:ascii="宋体" w:hAnsi="宋体"/>
                <w:kern w:val="0"/>
                <w:szCs w:val="21"/>
              </w:rPr>
              <w:t>月30日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hint="eastAsia"/>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rFonts w:hint="eastAsia"/>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rFonts w:hint="eastAsia" w:eastAsia="宋体"/>
                <w:b/>
                <w:color w:val="000000" w:themeColor="text1"/>
                <w:sz w:val="20"/>
                <w:szCs w:val="20"/>
                <w:lang w:val="en-US" w:eastAsia="zh-CN"/>
              </w:rPr>
            </w:pPr>
            <w:r>
              <w:rPr>
                <w:rFonts w:hint="eastAsia"/>
                <w:b/>
                <w:color w:val="000000" w:themeColor="text1"/>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240" w:lineRule="exact"/>
              <w:rPr>
                <w:b/>
                <w:color w:val="000000" w:themeColor="text1"/>
                <w:sz w:val="20"/>
                <w:szCs w:val="20"/>
              </w:rPr>
            </w:pPr>
            <w:r>
              <w:rPr>
                <w:rFonts w:hint="eastAsia" w:ascii="宋体" w:hAnsi="宋体" w:cs="宋体"/>
                <w:szCs w:val="2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纠正措施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rFonts w:hint="eastAsia" w:eastAsia="宋体"/>
                <w:b/>
                <w:color w:val="000000" w:themeColor="text1"/>
                <w:sz w:val="20"/>
                <w:szCs w:val="20"/>
                <w:lang w:eastAsia="zh-CN"/>
              </w:rPr>
            </w:pPr>
            <w:r>
              <w:rPr>
                <w:rFonts w:hint="eastAsia"/>
                <w:b/>
                <w:color w:val="000000" w:themeColor="text1"/>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b/>
                <w:color w:val="000000" w:themeColor="text1"/>
                <w:spacing w:val="-20"/>
                <w:sz w:val="20"/>
                <w:szCs w:val="20"/>
              </w:rPr>
            </w:pPr>
            <w:r>
              <w:rPr>
                <w:rFonts w:hint="eastAsia"/>
                <w:b/>
                <w:color w:val="000000" w:themeColor="text1"/>
                <w:spacing w:val="-20"/>
                <w:sz w:val="20"/>
                <w:szCs w:val="20"/>
              </w:rPr>
              <w:t>一阶段审核不符合情况：无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z w:val="20"/>
                <w:szCs w:val="20"/>
                <w:lang w:val="en-US" w:eastAsia="zh-CN"/>
              </w:rPr>
            </w:pPr>
            <w:r>
              <w:rPr>
                <w:rFonts w:hint="eastAsia"/>
                <w:b/>
                <w:color w:val="000000" w:themeColor="text1"/>
                <w:sz w:val="20"/>
                <w:szCs w:val="20"/>
              </w:rPr>
              <w:t>4.创新情况</w:t>
            </w:r>
            <w:r>
              <w:rPr>
                <w:rFonts w:hint="eastAsia"/>
                <w:b/>
                <w:color w:val="000000" w:themeColor="text1"/>
                <w:sz w:val="20"/>
                <w:szCs w:val="20"/>
                <w:lang w:val="en-US" w:eastAsia="zh-CN"/>
              </w:rPr>
              <w:t xml:space="preserve"> </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zCs w:val="21"/>
                <w:lang w:val="en-US" w:eastAsia="zh-CN"/>
              </w:rPr>
            </w:pPr>
            <w:r>
              <w:rPr>
                <w:rFonts w:hint="eastAsia"/>
                <w:b/>
                <w:color w:val="000000" w:themeColor="text1"/>
                <w:szCs w:val="21"/>
              </w:rPr>
              <w:t>5. 上次不符合的整改情况（再认证填写）</w:t>
            </w:r>
            <w:r>
              <w:rPr>
                <w:rFonts w:hint="eastAsia"/>
                <w:b/>
                <w:color w:val="000000" w:themeColor="text1"/>
                <w:szCs w:val="21"/>
                <w:lang w:val="en-US" w:eastAsia="zh-CN"/>
              </w:rPr>
              <w:t xml:space="preserve"> </w:t>
            </w:r>
          </w:p>
          <w:p>
            <w:pPr>
              <w:spacing w:line="240" w:lineRule="exact"/>
              <w:rPr>
                <w:rFonts w:hint="default" w:eastAsia="宋体"/>
                <w:b/>
                <w:color w:val="000000" w:themeColor="text1"/>
                <w:szCs w:val="21"/>
                <w:lang w:val="en-US" w:eastAsia="zh-CN"/>
              </w:rPr>
            </w:pPr>
            <w:r>
              <w:rPr>
                <w:rFonts w:hint="eastAsia"/>
                <w:b/>
                <w:color w:val="000000" w:themeColor="text1"/>
                <w:szCs w:val="21"/>
                <w:lang w:val="en-US" w:eastAsia="zh-CN"/>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1</w:t>
      </w:r>
      <w:r>
        <w:rPr>
          <w:rFonts w:hint="eastAsia"/>
          <w:b/>
          <w:color w:val="000000" w:themeColor="text1"/>
        </w:rPr>
        <w:t>项；其中</w:t>
      </w:r>
      <w:r>
        <w:rPr>
          <w:b/>
          <w:color w:val="000000" w:themeColor="text1"/>
        </w:rPr>
        <w:pict>
          <v:line id="直接连接符 1" o:spid="_x0000_s1027" o:spt="20" style="position:absolute;left:0pt;margin-left:210pt;margin-top:16.2pt;height:0pt;width:0pt;z-index:251659264;mso-width-relative:page;mso-height-relative:page;" coordsize="21600,21600" o:allowincell="f">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0</w:t>
      </w:r>
      <w:r>
        <w:rPr>
          <w:rFonts w:hint="eastAsia"/>
          <w:b/>
          <w:color w:val="000000" w:themeColor="text1"/>
        </w:rPr>
        <w:t>项，一般不符合</w:t>
      </w:r>
      <w:r>
        <w:rPr>
          <w:rFonts w:hint="eastAsia"/>
          <w:b/>
          <w:color w:val="000000" w:themeColor="text1"/>
          <w:lang w:val="en-US" w:eastAsia="zh-CN"/>
        </w:rPr>
        <w:t>1</w:t>
      </w:r>
      <w:r>
        <w:rPr>
          <w:rFonts w:hint="eastAsia"/>
          <w:b/>
          <w:color w:val="000000" w:themeColor="text1"/>
        </w:rPr>
        <w:t>项，观察项</w:t>
      </w:r>
      <w:r>
        <w:rPr>
          <w:rFonts w:hint="eastAsia"/>
          <w:b/>
          <w:color w:val="000000" w:themeColor="text1"/>
          <w:lang w:val="en-US" w:eastAsia="zh-CN"/>
        </w:rPr>
        <w:t>0</w:t>
      </w:r>
      <w:r>
        <w:rPr>
          <w:rFonts w:hint="eastAsia"/>
          <w:b/>
          <w:color w:val="000000" w:themeColor="text1"/>
        </w:rPr>
        <w:t>项分布在</w:t>
      </w:r>
      <w:r>
        <w:rPr>
          <w:rFonts w:hint="eastAsia"/>
          <w:b/>
          <w:color w:val="000000" w:themeColor="text1"/>
          <w:lang w:val="en-US" w:eastAsia="zh-CN"/>
        </w:rPr>
        <w:t>科研处</w:t>
      </w:r>
      <w:r>
        <w:rPr>
          <w:rFonts w:hint="eastAsia"/>
          <w:b/>
          <w:color w:val="000000" w:themeColor="text1"/>
        </w:rPr>
        <w:t>部门条款</w:t>
      </w:r>
      <w:r>
        <w:rPr>
          <w:rFonts w:hint="eastAsia"/>
          <w:b/>
          <w:color w:val="000000" w:themeColor="text1"/>
          <w:lang w:val="en-US" w:eastAsia="zh-CN"/>
        </w:rPr>
        <w:t>Q7.1.5</w:t>
      </w:r>
      <w:r>
        <w:rPr>
          <w:rFonts w:hint="eastAsia"/>
          <w:b/>
          <w:color w:val="000000" w:themeColor="text1"/>
        </w:rPr>
        <w:t>，分布见附件。（Q/J/E/S分开填写）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lang w:eastAsia="zh-CN"/>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7"/>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6"/>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10"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lang w:eastAsia="zh-CN"/>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lang w:eastAsia="zh-CN"/>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b/>
                <w:color w:val="000000" w:themeColor="text1"/>
                <w:spacing w:val="-10"/>
                <w:sz w:val="22"/>
                <w:szCs w:val="22"/>
              </w:rPr>
            </w:pPr>
            <w:r>
              <w:rPr>
                <w:rFonts w:ascii="宋体" w:hAnsi="宋体"/>
                <w:b/>
                <w:color w:val="000000" w:themeColor="text1"/>
              </w:rPr>
              <w:t>QMS: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5"/>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rFonts w:hint="eastAsia" w:eastAsia="宋体"/>
          <w:b/>
          <w:color w:val="000000" w:themeColor="text1"/>
          <w:sz w:val="26"/>
          <w:szCs w:val="26"/>
          <w:lang w:val="en-US" w:eastAsia="zh-CN"/>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b/>
          <w:color w:val="000000" w:themeColor="text1"/>
          <w:sz w:val="26"/>
          <w:szCs w:val="26"/>
          <w:lang w:eastAsia="zh-CN"/>
        </w:rPr>
        <w:t>无</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30" w:leftChars="-405" w:hanging="720" w:hangingChars="326"/>
        <w:rPr>
          <w:b/>
          <w:color w:val="000000" w:themeColor="text1"/>
          <w:sz w:val="16"/>
          <w:szCs w:val="16"/>
        </w:rPr>
      </w:pPr>
      <w:r>
        <w:rPr>
          <w:rFonts w:hint="eastAsia"/>
          <w:b/>
          <w:sz w:val="22"/>
          <w:szCs w:val="22"/>
        </w:rPr>
        <w:drawing>
          <wp:anchor distT="0" distB="0" distL="114300" distR="114300" simplePos="0" relativeHeight="251662336" behindDoc="0" locked="0" layoutInCell="1" allowOverlap="1">
            <wp:simplePos x="0" y="0"/>
            <wp:positionH relativeFrom="column">
              <wp:posOffset>1741170</wp:posOffset>
            </wp:positionH>
            <wp:positionV relativeFrom="paragraph">
              <wp:posOffset>362585</wp:posOffset>
            </wp:positionV>
            <wp:extent cx="422910" cy="320040"/>
            <wp:effectExtent l="0" t="0" r="15240" b="3810"/>
            <wp:wrapNone/>
            <wp:docPr id="3" name="图片 3"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签名.jpg"/>
                    <pic:cNvPicPr>
                      <a:picLocks noChangeAspect="1" noChangeArrowheads="1"/>
                    </pic:cNvPicPr>
                  </pic:nvPicPr>
                  <pic:blipFill>
                    <a:blip r:embed="rId6"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50" w:firstLineChars="250"/>
        <w:rPr>
          <w:b/>
          <w:color w:val="000000" w:themeColor="text1"/>
        </w:rPr>
      </w:pPr>
      <w:r>
        <w:rPr>
          <w:sz w:val="22"/>
          <w:szCs w:val="22"/>
        </w:rPr>
        <w:drawing>
          <wp:anchor distT="0" distB="0" distL="114300" distR="114300" simplePos="0" relativeHeight="251663360" behindDoc="0" locked="0" layoutInCell="1" allowOverlap="1">
            <wp:simplePos x="0" y="0"/>
            <wp:positionH relativeFrom="column">
              <wp:posOffset>1705610</wp:posOffset>
            </wp:positionH>
            <wp:positionV relativeFrom="paragraph">
              <wp:posOffset>146050</wp:posOffset>
            </wp:positionV>
            <wp:extent cx="412115" cy="269875"/>
            <wp:effectExtent l="0" t="0" r="6985" b="15875"/>
            <wp:wrapNone/>
            <wp:docPr id="9" name="图片 9" descr="d7de3ae164cf7699def4c632e5368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7de3ae164cf7699def4c632e53688b"/>
                    <pic:cNvPicPr>
                      <a:picLocks noChangeAspect="1"/>
                    </pic:cNvPicPr>
                  </pic:nvPicPr>
                  <pic:blipFill>
                    <a:blip r:embed="rId7"/>
                    <a:stretch>
                      <a:fillRect/>
                    </a:stretch>
                  </pic:blipFill>
                  <pic:spPr>
                    <a:xfrm>
                      <a:off x="0" y="0"/>
                      <a:ext cx="412115" cy="269875"/>
                    </a:xfrm>
                    <a:prstGeom prst="rect">
                      <a:avLst/>
                    </a:prstGeom>
                  </pic:spPr>
                </pic:pic>
              </a:graphicData>
            </a:graphic>
          </wp:anchor>
        </w:drawing>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2021</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4</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30</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bookmarkStart w:id="22" w:name="_GoBack"/>
      <w:bookmarkEnd w:id="22"/>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lang w:eastAsia="zh-CN"/>
        </w:rPr>
        <w:t>☑</w:t>
      </w:r>
      <w:r>
        <w:rPr>
          <w:rFonts w:hint="eastAsia"/>
          <w:b/>
          <w:color w:val="000000" w:themeColor="text1"/>
          <w:szCs w:val="21"/>
        </w:rPr>
        <w:t>QMS</w:t>
      </w:r>
      <w:r>
        <w:rPr>
          <w:rFonts w:hint="eastAsia"/>
          <w:b/>
          <w:color w:val="000000" w:themeColor="text1"/>
          <w:szCs w:val="21"/>
          <w:lang w:val="en-US" w:eastAsia="zh-CN"/>
        </w:rPr>
        <w:t>1</w:t>
      </w:r>
      <w:r>
        <w:rPr>
          <w:rFonts w:hint="eastAsia"/>
          <w:b/>
          <w:color w:val="000000" w:themeColor="text1"/>
          <w:szCs w:val="21"/>
        </w:rPr>
        <w:t>)个一般不符合，(</w:t>
      </w:r>
      <w:r>
        <w:rPr>
          <w:rFonts w:hint="eastAsia"/>
          <w:b/>
          <w:color w:val="000000" w:themeColor="text1"/>
          <w:szCs w:val="21"/>
          <w:lang w:val="en-US" w:eastAsia="zh-CN"/>
        </w:rPr>
        <w:t>0</w:t>
      </w:r>
      <w:r>
        <w:rPr>
          <w:rFonts w:hint="eastAsia"/>
          <w:b/>
          <w:color w:val="000000" w:themeColor="text1"/>
          <w:szCs w:val="21"/>
        </w:rPr>
        <w:t>)个严重不符合，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sz w:val="22"/>
          <w:szCs w:val="22"/>
        </w:rPr>
        <w:drawing>
          <wp:anchor distT="0" distB="0" distL="114300" distR="114300" simplePos="0" relativeHeight="251664384" behindDoc="0" locked="0" layoutInCell="1" allowOverlap="1">
            <wp:simplePos x="0" y="0"/>
            <wp:positionH relativeFrom="column">
              <wp:posOffset>633730</wp:posOffset>
            </wp:positionH>
            <wp:positionV relativeFrom="paragraph">
              <wp:posOffset>106680</wp:posOffset>
            </wp:positionV>
            <wp:extent cx="422910" cy="320040"/>
            <wp:effectExtent l="0" t="0" r="15240" b="3810"/>
            <wp:wrapNone/>
            <wp:docPr id="5" name="图片 5"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签名.jpg"/>
                    <pic:cNvPicPr>
                      <a:picLocks noChangeAspect="1" noChangeArrowheads="1"/>
                    </pic:cNvPicPr>
                  </pic:nvPicPr>
                  <pic:blipFill>
                    <a:blip r:embed="rId6"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b/>
          <w:color w:val="000000" w:themeColor="text1"/>
          <w:szCs w:val="21"/>
        </w:rPr>
        <w:t xml:space="preserve">组长签字:                            </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十六、与末次会议结论不同处的说明和其他说明：(技术委员会填写)</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十七、审核报告的发放范围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b/>
          <w:color w:val="000000" w:themeColor="text1"/>
          <w:sz w:val="26"/>
          <w:szCs w:val="26"/>
        </w:rPr>
        <w:t>十八</w:t>
      </w:r>
      <w:r>
        <w:rPr>
          <w:rFonts w:hint="eastAsia" w:ascii="宋体" w:hAnsi="宋体"/>
          <w:b/>
          <w:color w:val="000000" w:themeColor="text1"/>
          <w:sz w:val="26"/>
          <w:szCs w:val="26"/>
        </w:rPr>
        <w:t>、附件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bookmarkStart w:id="21" w:name="_Hlk8555230"/>
    <w:r>
      <w:pict>
        <v:shape id="_x0000_s2049" o:spid="_x0000_s2049" o:spt="202" type="#_x0000_t202" style="position:absolute;left:0pt;margin-left:249.35pt;margin-top:5.25pt;height:20.2pt;width:164.1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bookmarkEnd w:id="21"/>
  </w:p>
  <w:p>
    <w:pPr>
      <w:pStyle w:val="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6554C6"/>
    <w:rsid w:val="03471AC9"/>
    <w:rsid w:val="03593A03"/>
    <w:rsid w:val="04A9109C"/>
    <w:rsid w:val="060E38DD"/>
    <w:rsid w:val="06A230C4"/>
    <w:rsid w:val="08BF0B09"/>
    <w:rsid w:val="0915305A"/>
    <w:rsid w:val="099614AF"/>
    <w:rsid w:val="0B044A33"/>
    <w:rsid w:val="0C692F87"/>
    <w:rsid w:val="0D552B1E"/>
    <w:rsid w:val="0FB94ABF"/>
    <w:rsid w:val="11053FBF"/>
    <w:rsid w:val="12152D26"/>
    <w:rsid w:val="139F5F81"/>
    <w:rsid w:val="13FA0957"/>
    <w:rsid w:val="148F6792"/>
    <w:rsid w:val="16E33039"/>
    <w:rsid w:val="17114F55"/>
    <w:rsid w:val="17A71BDA"/>
    <w:rsid w:val="180F7C00"/>
    <w:rsid w:val="19D15550"/>
    <w:rsid w:val="1A9914E2"/>
    <w:rsid w:val="1AAC602C"/>
    <w:rsid w:val="1B01242F"/>
    <w:rsid w:val="1BD506B9"/>
    <w:rsid w:val="1D5B59F5"/>
    <w:rsid w:val="1F366680"/>
    <w:rsid w:val="1F454E43"/>
    <w:rsid w:val="1FE74AEE"/>
    <w:rsid w:val="203D120F"/>
    <w:rsid w:val="220E0E34"/>
    <w:rsid w:val="226530A2"/>
    <w:rsid w:val="235A35FF"/>
    <w:rsid w:val="25F8513C"/>
    <w:rsid w:val="26BA585B"/>
    <w:rsid w:val="28162138"/>
    <w:rsid w:val="28AF18DF"/>
    <w:rsid w:val="299832DD"/>
    <w:rsid w:val="2A6B34AB"/>
    <w:rsid w:val="2B570DFA"/>
    <w:rsid w:val="2BAD3E7E"/>
    <w:rsid w:val="2C965467"/>
    <w:rsid w:val="2F565B94"/>
    <w:rsid w:val="2F635834"/>
    <w:rsid w:val="30A1529E"/>
    <w:rsid w:val="316B71D3"/>
    <w:rsid w:val="31F53B58"/>
    <w:rsid w:val="32596936"/>
    <w:rsid w:val="328746B2"/>
    <w:rsid w:val="333E6713"/>
    <w:rsid w:val="337170D0"/>
    <w:rsid w:val="34103757"/>
    <w:rsid w:val="34460E19"/>
    <w:rsid w:val="34C91E55"/>
    <w:rsid w:val="35BD3A6E"/>
    <w:rsid w:val="36B61DFB"/>
    <w:rsid w:val="37FB47DB"/>
    <w:rsid w:val="3A91538F"/>
    <w:rsid w:val="3C075FFF"/>
    <w:rsid w:val="3C7101BC"/>
    <w:rsid w:val="3EF3290D"/>
    <w:rsid w:val="40211829"/>
    <w:rsid w:val="406D36E3"/>
    <w:rsid w:val="40882BA9"/>
    <w:rsid w:val="41A11203"/>
    <w:rsid w:val="46225796"/>
    <w:rsid w:val="47405D2B"/>
    <w:rsid w:val="478306A0"/>
    <w:rsid w:val="4890793F"/>
    <w:rsid w:val="4A615CD0"/>
    <w:rsid w:val="4BC35636"/>
    <w:rsid w:val="4C2205A1"/>
    <w:rsid w:val="4D467D57"/>
    <w:rsid w:val="4DA767FE"/>
    <w:rsid w:val="506E19FE"/>
    <w:rsid w:val="53734377"/>
    <w:rsid w:val="53857400"/>
    <w:rsid w:val="53994187"/>
    <w:rsid w:val="54F26EA5"/>
    <w:rsid w:val="57667BF3"/>
    <w:rsid w:val="58614F91"/>
    <w:rsid w:val="5B303E77"/>
    <w:rsid w:val="5CE802FB"/>
    <w:rsid w:val="5D99674E"/>
    <w:rsid w:val="612A1170"/>
    <w:rsid w:val="61693F4A"/>
    <w:rsid w:val="62BE192F"/>
    <w:rsid w:val="64923E70"/>
    <w:rsid w:val="64B83B8F"/>
    <w:rsid w:val="65132F9B"/>
    <w:rsid w:val="665F495A"/>
    <w:rsid w:val="672D015E"/>
    <w:rsid w:val="67DB23BA"/>
    <w:rsid w:val="68DD70DA"/>
    <w:rsid w:val="68E031CD"/>
    <w:rsid w:val="69906B1A"/>
    <w:rsid w:val="6A752799"/>
    <w:rsid w:val="6B3757E6"/>
    <w:rsid w:val="6D0958ED"/>
    <w:rsid w:val="6EAB4734"/>
    <w:rsid w:val="6FB92802"/>
    <w:rsid w:val="705464E0"/>
    <w:rsid w:val="71AD5728"/>
    <w:rsid w:val="725C138C"/>
    <w:rsid w:val="72C848E4"/>
    <w:rsid w:val="735B60B4"/>
    <w:rsid w:val="74136646"/>
    <w:rsid w:val="76396A7B"/>
    <w:rsid w:val="776D7D19"/>
    <w:rsid w:val="778F4A07"/>
    <w:rsid w:val="77DB5643"/>
    <w:rsid w:val="78FD11D1"/>
    <w:rsid w:val="7A613999"/>
    <w:rsid w:val="7A91414A"/>
    <w:rsid w:val="7AF823FD"/>
    <w:rsid w:val="7B692598"/>
    <w:rsid w:val="7BEC76B5"/>
    <w:rsid w:val="7BFA209A"/>
    <w:rsid w:val="7C024D9C"/>
    <w:rsid w:val="7C6D25CF"/>
    <w:rsid w:val="7D8A0223"/>
    <w:rsid w:val="7DD51AED"/>
    <w:rsid w:val="7F7F3A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5"/>
        <o:r id="V:Rule2"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qFormat/>
    <w:uiPriority w:val="99"/>
    <w:rPr>
      <w:color w:val="0000FF"/>
      <w:u w:val="single"/>
    </w:rPr>
  </w:style>
  <w:style w:type="paragraph" w:styleId="10">
    <w:name w:val="List Paragraph"/>
    <w:basedOn w:val="1"/>
    <w:qFormat/>
    <w:uiPriority w:val="34"/>
    <w:pPr>
      <w:ind w:firstLine="420" w:firstLineChars="200"/>
    </w:pPr>
  </w:style>
  <w:style w:type="character" w:customStyle="1" w:styleId="11">
    <w:name w:val="页眉 Char1"/>
    <w:basedOn w:val="8"/>
    <w:link w:val="4"/>
    <w:qFormat/>
    <w:uiPriority w:val="99"/>
    <w:rPr>
      <w:rFonts w:ascii="Times New Roman" w:hAnsi="Times New Roman" w:eastAsia="宋体" w:cs="Times New Roman"/>
      <w:sz w:val="18"/>
      <w:szCs w:val="18"/>
    </w:rPr>
  </w:style>
  <w:style w:type="character" w:customStyle="1" w:styleId="12">
    <w:name w:val="页脚 Char"/>
    <w:basedOn w:val="8"/>
    <w:link w:val="3"/>
    <w:qFormat/>
    <w:uiPriority w:val="99"/>
    <w:rPr>
      <w:rFonts w:ascii="Times New Roman" w:hAnsi="Times New Roman" w:eastAsia="宋体" w:cs="Times New Roman"/>
      <w:sz w:val="18"/>
      <w:szCs w:val="18"/>
    </w:rPr>
  </w:style>
  <w:style w:type="character" w:customStyle="1" w:styleId="13">
    <w:name w:val="批注框文本 Char"/>
    <w:basedOn w:val="8"/>
    <w:link w:val="2"/>
    <w:semiHidden/>
    <w:qFormat/>
    <w:uiPriority w:val="99"/>
    <w:rPr>
      <w:rFonts w:ascii="Times New Roman" w:hAnsi="Times New Roman" w:eastAsia="宋体" w:cs="Times New Roman"/>
      <w:sz w:val="18"/>
      <w:szCs w:val="18"/>
    </w:rPr>
  </w:style>
  <w:style w:type="character" w:customStyle="1" w:styleId="14">
    <w:name w:val="页眉 Char"/>
    <w:qFormat/>
    <w:uiPriority w:val="0"/>
    <w:rPr>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5"/>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756</Words>
  <Characters>4311</Characters>
  <Lines>35</Lines>
  <Paragraphs>10</Paragraphs>
  <TotalTime>1</TotalTime>
  <ScaleCrop>false</ScaleCrop>
  <LinksUpToDate>false</LinksUpToDate>
  <CharactersWithSpaces>5057</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2021-05-03T08:10:25Z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2CB26C9D6E424057A584B84C21251975</vt:lpwstr>
  </property>
</Properties>
</file>