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受审核方：中沐建友工程项目管理有限公司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Q:34.01.02,35.04.02</w:t>
            </w:r>
          </w:p>
          <w:p>
            <w:pPr>
              <w:jc w:val="center"/>
              <w:rPr>
                <w:b/>
                <w:sz w:val="21"/>
                <w:szCs w:val="21"/>
              </w:rPr>
            </w:pPr>
            <w:r>
              <w:rPr>
                <w:b/>
                <w:sz w:val="21"/>
                <w:szCs w:val="21"/>
              </w:rPr>
              <w:t>E:34.01.02,35.04.02</w:t>
            </w:r>
          </w:p>
          <w:p>
            <w:pPr>
              <w:jc w:val="center"/>
              <w:rPr>
                <w:b/>
                <w:sz w:val="21"/>
                <w:szCs w:val="21"/>
              </w:rPr>
            </w:pPr>
            <w:r>
              <w:rPr>
                <w:b/>
                <w:sz w:val="21"/>
                <w:szCs w:val="21"/>
              </w:rPr>
              <w:t>O:34.01.02,35.04.02</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E:34.01.02,35.04.02</w:t>
            </w:r>
          </w:p>
          <w:p>
            <w:pPr>
              <w:jc w:val="center"/>
              <w:rPr>
                <w:b/>
                <w:sz w:val="21"/>
                <w:szCs w:val="21"/>
              </w:rPr>
            </w:pPr>
            <w:r>
              <w:rPr>
                <w:b/>
                <w:sz w:val="21"/>
                <w:szCs w:val="21"/>
              </w:rPr>
              <w:t>O:34.01.02,35.04.02</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r>
              <w:rPr>
                <w:rFonts w:hint="eastAsia" w:ascii="宋体"/>
                <w:b/>
                <w:color w:val="FF0000"/>
                <w:sz w:val="21"/>
              </w:rPr>
              <w:t>中沐建友工程项目管理有限公司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经核实11人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秦皇岛市海港区西港路205-1号四楼405室</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066000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秦皇岛市海港区西港路205-1号四楼405室</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066000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秦皇岛市海港区西港路205-1号四楼405室</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066000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王立成</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15350876201</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陈宝良</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color w:val="000000" w:themeColor="text1"/>
                <w:sz w:val="20"/>
                <w:szCs w:val="20"/>
              </w:rPr>
              <w:t>陈宝良</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王立成</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2021年04月25日 下午至2021年04月27日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1" w:name="审核范围"/>
            <w:r>
              <w:rPr>
                <w:rFonts w:hint="eastAsia" w:ascii="宋体" w:hAnsi="宋体"/>
              </w:rPr>
              <w:t>Q：工程招标代理</w:t>
            </w:r>
          </w:p>
          <w:p>
            <w:pPr>
              <w:spacing w:line="0" w:lineRule="atLeast"/>
              <w:jc w:val="left"/>
              <w:rPr>
                <w:rFonts w:hint="eastAsia" w:ascii="宋体" w:hAnsi="宋体"/>
              </w:rPr>
            </w:pPr>
            <w:r>
              <w:rPr>
                <w:rFonts w:hint="eastAsia" w:ascii="宋体" w:hAnsi="宋体"/>
              </w:rPr>
              <w:t>E：工程招标代理及其场所所涉及的相关环境管理活动</w:t>
            </w:r>
          </w:p>
          <w:p>
            <w:pPr>
              <w:spacing w:line="360" w:lineRule="exact"/>
              <w:rPr>
                <w:rFonts w:ascii="宋体" w:hAnsi="宋体"/>
                <w:b/>
                <w:sz w:val="21"/>
                <w:szCs w:val="21"/>
              </w:rPr>
            </w:pPr>
            <w:r>
              <w:rPr>
                <w:rFonts w:hint="eastAsia" w:ascii="宋体" w:hAnsi="宋体"/>
              </w:rPr>
              <w:t>O：工程招标代理及其场所所涉及的相关职业健康安全管理活动</w:t>
            </w:r>
            <w:bookmarkEnd w:id="21"/>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Q：34.01.02;35.04.02</w:t>
            </w:r>
          </w:p>
          <w:p>
            <w:pPr>
              <w:spacing w:line="260" w:lineRule="exact"/>
              <w:rPr>
                <w:rFonts w:ascii="宋体" w:hAnsi="宋体"/>
                <w:b/>
                <w:sz w:val="21"/>
                <w:szCs w:val="21"/>
              </w:rPr>
            </w:pPr>
            <w:r>
              <w:rPr>
                <w:rFonts w:ascii="宋体" w:hAnsi="宋体"/>
                <w:b/>
                <w:sz w:val="21"/>
                <w:szCs w:val="21"/>
              </w:rPr>
              <w:t>E：34.01.02;35.04.02</w:t>
            </w:r>
          </w:p>
          <w:p>
            <w:pPr>
              <w:spacing w:line="260" w:lineRule="exact"/>
              <w:rPr>
                <w:rFonts w:ascii="宋体" w:hAnsi="宋体"/>
                <w:b/>
                <w:sz w:val="21"/>
                <w:szCs w:val="21"/>
              </w:rPr>
            </w:pPr>
            <w:r>
              <w:rPr>
                <w:rFonts w:ascii="宋体" w:hAnsi="宋体"/>
                <w:b/>
                <w:sz w:val="21"/>
                <w:szCs w:val="21"/>
              </w:rPr>
              <w:t>O：34.01.02;35.04.02</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ind w:firstLine="211" w:firstLineChars="100"/>
              <w:rPr>
                <w:rFonts w:hint="default" w:ascii="宋体" w:hAnsi="宋体" w:eastAsia="宋体"/>
                <w:b/>
                <w:sz w:val="21"/>
                <w:szCs w:val="21"/>
                <w:lang w:val="en-US" w:eastAsia="zh-CN"/>
              </w:rPr>
            </w:pPr>
            <w:r>
              <w:rPr>
                <w:rFonts w:hint="eastAsia" w:ascii="宋体" w:hAnsi="宋体"/>
                <w:b/>
                <w:sz w:val="21"/>
                <w:szCs w:val="21"/>
                <w:lang w:val="en-US" w:eastAsia="zh-CN"/>
              </w:rPr>
              <w:t>2023-3-11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r>
              <w:rPr>
                <w:rFonts w:hint="eastAsia" w:ascii="宋体"/>
                <w:b/>
                <w:sz w:val="21"/>
              </w:rPr>
              <w:t xml:space="preserve"> 2020年03月08日 上午</w:t>
            </w:r>
            <w:r>
              <w:rPr>
                <w:rFonts w:hint="eastAsia" w:ascii="宋体"/>
                <w:b/>
                <w:sz w:val="21"/>
              </w:rPr>
              <w:tab/>
            </w:r>
            <w:r>
              <w:rPr>
                <w:rFonts w:hint="eastAsia" w:ascii="宋体"/>
                <w:b/>
                <w:sz w:val="21"/>
                <w:lang w:val="en-US" w:eastAsia="zh-CN"/>
              </w:rPr>
              <w:t>----</w:t>
            </w:r>
            <w:r>
              <w:rPr>
                <w:rFonts w:hint="eastAsia" w:ascii="宋体"/>
                <w:b/>
                <w:sz w:val="21"/>
              </w:rPr>
              <w:t xml:space="preserve"> 2020年03月09日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color w:val="000000" w:themeColor="text1"/>
                <w:szCs w:val="22"/>
              </w:rPr>
            </w:pPr>
            <w:r>
              <w:rPr>
                <w:rFonts w:hint="eastAsia" w:ascii="Times New Roman" w:hAnsi="Times New Roman" w:cs="Times New Roman"/>
                <w:color w:val="000000" w:themeColor="text1"/>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rFonts w:ascii="宋体" w:hAnsi="宋体"/>
                <w:b/>
                <w:sz w:val="21"/>
                <w:szCs w:val="21"/>
              </w:rPr>
            </w:pP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4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numPr>
                <w:ilvl w:val="0"/>
                <w:numId w:val="0"/>
              </w:numPr>
              <w:spacing w:line="480" w:lineRule="exact"/>
              <w:rPr>
                <w:rFonts w:ascii="楷体" w:hAnsi="楷体" w:eastAsia="楷体"/>
                <w:sz w:val="24"/>
              </w:rPr>
            </w:pPr>
            <w:r>
              <w:rPr>
                <w:rFonts w:hint="eastAsia" w:ascii="楷体" w:hAnsi="楷体" w:eastAsia="楷体"/>
                <w:sz w:val="24"/>
              </w:rPr>
              <w:t>公司的管理方针是：</w:t>
            </w:r>
          </w:p>
          <w:p>
            <w:pPr>
              <w:ind w:left="360" w:leftChars="150"/>
              <w:jc w:val="left"/>
              <w:rPr>
                <w:rFonts w:ascii="宋体" w:hAnsi="宋体"/>
                <w:b/>
                <w:sz w:val="20"/>
                <w:szCs w:val="20"/>
              </w:rPr>
            </w:pPr>
            <w:r>
              <w:rPr>
                <w:rFonts w:hint="eastAsia" w:ascii="宋体" w:hAnsi="宋体"/>
                <w:b/>
                <w:sz w:val="20"/>
                <w:szCs w:val="20"/>
              </w:rPr>
              <w:t>精益求精，顾客满意；</w:t>
            </w:r>
          </w:p>
          <w:p>
            <w:pPr>
              <w:ind w:left="360" w:leftChars="150"/>
              <w:jc w:val="left"/>
              <w:rPr>
                <w:rFonts w:ascii="宋体" w:hAnsi="宋体"/>
                <w:b/>
                <w:sz w:val="20"/>
                <w:szCs w:val="20"/>
              </w:rPr>
            </w:pPr>
            <w:r>
              <w:rPr>
                <w:rFonts w:hint="eastAsia" w:ascii="宋体" w:hAnsi="宋体"/>
                <w:b/>
                <w:sz w:val="20"/>
                <w:szCs w:val="20"/>
              </w:rPr>
              <w:t>保护环境，预防污染；</w:t>
            </w:r>
          </w:p>
          <w:p>
            <w:pPr>
              <w:ind w:left="360" w:leftChars="150"/>
              <w:jc w:val="left"/>
              <w:rPr>
                <w:rFonts w:ascii="宋体" w:hAnsi="宋体"/>
                <w:b/>
                <w:sz w:val="20"/>
                <w:szCs w:val="20"/>
              </w:rPr>
            </w:pPr>
            <w:r>
              <w:rPr>
                <w:rFonts w:hint="eastAsia" w:ascii="宋体" w:hAnsi="宋体"/>
                <w:b/>
                <w:sz w:val="20"/>
                <w:szCs w:val="20"/>
              </w:rPr>
              <w:t>保障健康，安全第一；</w:t>
            </w:r>
          </w:p>
          <w:p>
            <w:pPr>
              <w:ind w:left="360" w:leftChars="150"/>
              <w:jc w:val="left"/>
              <w:rPr>
                <w:rFonts w:ascii="宋体" w:hAnsi="宋体"/>
                <w:b/>
                <w:sz w:val="20"/>
                <w:szCs w:val="20"/>
              </w:rPr>
            </w:pPr>
            <w:r>
              <w:rPr>
                <w:rFonts w:hint="eastAsia" w:ascii="宋体" w:hAnsi="宋体"/>
                <w:b/>
                <w:sz w:val="20"/>
                <w:szCs w:val="20"/>
              </w:rPr>
              <w:t>遵守法规，持续改进。</w:t>
            </w:r>
          </w:p>
          <w:p>
            <w:pPr>
              <w:pStyle w:val="2"/>
            </w:pPr>
            <w:r>
              <w:rPr>
                <w:rFonts w:hint="eastAsia"/>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napToGrid w:val="0"/>
              <w:spacing w:line="288" w:lineRule="auto"/>
              <w:ind w:right="-7" w:firstLine="240" w:firstLineChars="100"/>
              <w:rPr>
                <w:szCs w:val="21"/>
              </w:rPr>
            </w:pPr>
            <w:r>
              <w:rPr>
                <w:rFonts w:hint="eastAsia"/>
                <w:szCs w:val="21"/>
              </w:rPr>
              <w:t>与招投标人签订招标代理合同-拟定招投标方案-提出招标申请-发布招投标公告或发出投标邀请书-编制、发售资格预审文件-审查投标申请人资格-编制并发售招标文件-编制标的或投标控制价-踏勘现场与答疑-组织开标-组织评标-定标与发出中标通知书-招标投标资料汇总与书面报告-协助招标人</w:t>
            </w:r>
            <w:r>
              <w:rPr>
                <w:szCs w:val="21"/>
              </w:rPr>
              <w:t> </w:t>
            </w:r>
            <w:r>
              <w:rPr>
                <w:rFonts w:hint="eastAsia"/>
                <w:szCs w:val="21"/>
              </w:rPr>
              <w:t>签订合同-合同备案-招投标代理服务费</w:t>
            </w:r>
          </w:p>
          <w:p>
            <w:pPr>
              <w:rPr>
                <w:szCs w:val="21"/>
              </w:rPr>
            </w:pPr>
            <w:r>
              <w:rPr>
                <w:rFonts w:hint="eastAsia" w:ascii="宋体" w:hAnsi="宋体"/>
                <w:b/>
                <w:sz w:val="20"/>
                <w:szCs w:val="20"/>
              </w:rPr>
              <w:t>其中关键过程有</w:t>
            </w:r>
            <w:r>
              <w:rPr>
                <w:rFonts w:hint="eastAsia" w:ascii="宋体" w:hAnsi="宋体"/>
                <w:b/>
                <w:sz w:val="20"/>
                <w:szCs w:val="20"/>
                <w:u w:val="single"/>
              </w:rPr>
              <w:t xml:space="preserve">    </w:t>
            </w:r>
            <w:r>
              <w:rPr>
                <w:rFonts w:hint="eastAsia"/>
                <w:szCs w:val="21"/>
              </w:rPr>
              <w:t>招标代理</w:t>
            </w:r>
            <w:r>
              <w:rPr>
                <w:rFonts w:hint="eastAsia" w:ascii="宋体" w:hAnsi="宋体"/>
                <w:szCs w:val="21"/>
              </w:rPr>
              <w:t>服务过程</w:t>
            </w:r>
          </w:p>
          <w:p>
            <w:pPr>
              <w:rPr>
                <w:rFonts w:ascii="宋体" w:hAnsi="宋体"/>
                <w:b/>
                <w:sz w:val="20"/>
                <w:szCs w:val="20"/>
                <w:u w:val="single"/>
              </w:rPr>
            </w:pPr>
            <w:r>
              <w:rPr>
                <w:rFonts w:hint="eastAsia" w:ascii="宋体" w:hAnsi="宋体"/>
                <w:b/>
                <w:sz w:val="20"/>
                <w:szCs w:val="20"/>
              </w:rPr>
              <w:t xml:space="preserve">需要确认过程  </w:t>
            </w:r>
            <w:r>
              <w:rPr>
                <w:rFonts w:hint="eastAsia"/>
                <w:szCs w:val="21"/>
              </w:rPr>
              <w:t>招标代理</w:t>
            </w:r>
            <w:r>
              <w:rPr>
                <w:rFonts w:hint="eastAsia" w:ascii="宋体" w:hAnsi="宋体"/>
                <w:szCs w:val="21"/>
              </w:rPr>
              <w:t>服务过程</w:t>
            </w:r>
          </w:p>
          <w:p>
            <w:pPr>
              <w:tabs>
                <w:tab w:val="left" w:pos="540"/>
              </w:tabs>
              <w:spacing w:line="300" w:lineRule="exact"/>
              <w:ind w:left="201" w:hanging="201" w:hangingChars="100"/>
              <w:rPr>
                <w:rFonts w:ascii="宋体" w:hAnsi="宋体"/>
                <w:b/>
                <w:sz w:val="20"/>
                <w:szCs w:val="20"/>
              </w:rPr>
            </w:pPr>
            <w:r>
              <w:rPr>
                <w:rFonts w:hint="eastAsia" w:ascii="宋体" w:hAnsi="宋体"/>
                <w:b/>
                <w:sz w:val="20"/>
                <w:szCs w:val="20"/>
              </w:rPr>
              <w:t>不适用条款是   8.3     ，不适用理由：   公司的</w:t>
            </w:r>
            <w:r>
              <w:rPr>
                <w:rFonts w:hint="eastAsia"/>
                <w:szCs w:val="21"/>
              </w:rPr>
              <w:t>招投标代理</w:t>
            </w:r>
            <w:r>
              <w:rPr>
                <w:rFonts w:hint="eastAsia" w:ascii="宋体" w:hAnsi="宋体"/>
                <w:szCs w:val="21"/>
              </w:rPr>
              <w:t>服务</w:t>
            </w:r>
            <w:r>
              <w:rPr>
                <w:rFonts w:hint="eastAsia" w:ascii="宋体" w:hAnsi="宋体"/>
                <w:b/>
                <w:sz w:val="20"/>
                <w:szCs w:val="20"/>
              </w:rPr>
              <w:t xml:space="preserve">不涉及产品的设计开发                                               </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hint="eastAsia" w:ascii="宋体" w:hAnsi="宋体"/>
                <w:b/>
                <w:spacing w:val="-12"/>
                <w:sz w:val="20"/>
                <w:szCs w:val="20"/>
              </w:rPr>
              <w:t>环境因素/</w:t>
            </w:r>
            <w:r>
              <w:rPr>
                <w:rFonts w:ascii="宋体" w:hAnsi="宋体"/>
                <w:b/>
                <w:spacing w:val="-12"/>
                <w:sz w:val="20"/>
                <w:szCs w:val="20"/>
              </w:rPr>
              <w:t xml:space="preserve"> </w:t>
            </w:r>
          </w:p>
          <w:p>
            <w:pPr>
              <w:spacing w:line="300" w:lineRule="exact"/>
              <w:rPr>
                <w:rFonts w:ascii="宋体" w:hAnsi="宋体"/>
                <w:b/>
                <w:spacing w:val="-8"/>
                <w:sz w:val="20"/>
                <w:szCs w:val="20"/>
              </w:rPr>
            </w:pPr>
            <w:r>
              <w:rPr>
                <w:rFonts w:hint="eastAsia" w:ascii="宋体" w:hAnsi="宋体"/>
                <w:b/>
                <w:sz w:val="20"/>
                <w:szCs w:val="20"/>
              </w:rPr>
              <w:t>（</w:t>
            </w:r>
            <w:r>
              <w:rPr>
                <w:rFonts w:hint="eastAsia" w:ascii="宋体" w:hAnsi="宋体"/>
                <w:b/>
                <w:spacing w:val="-8"/>
                <w:sz w:val="20"/>
                <w:szCs w:val="20"/>
              </w:rPr>
              <w:t>环境因素</w:t>
            </w:r>
            <w:r>
              <w:rPr>
                <w:rFonts w:hint="eastAsia" w:ascii="宋体" w:hAnsi="宋体"/>
                <w:b/>
                <w:sz w:val="20"/>
                <w:szCs w:val="20"/>
              </w:rPr>
              <w:t>辨识是否充分、重要环境因素评价合理性，</w:t>
            </w:r>
            <w:r>
              <w:rPr>
                <w:rFonts w:hint="eastAsia" w:ascii="宋体" w:hAnsi="宋体"/>
                <w:b/>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资质范围内的厨房排烟管道和家用电器清洁服务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获取法律法规90项，■法律法规获取充分，□法律法规获取有遗漏，缺少</w:t>
            </w:r>
          </w:p>
          <w:p>
            <w:pPr>
              <w:tabs>
                <w:tab w:val="left" w:pos="540"/>
              </w:tabs>
              <w:spacing w:line="300" w:lineRule="exact"/>
              <w:ind w:left="1" w:leftChars="-43" w:hanging="104" w:hangingChars="43"/>
              <w:rPr>
                <w:rFonts w:ascii="宋体" w:hAnsi="宋体"/>
                <w:b/>
                <w:szCs w:val="21"/>
                <w:u w:val="single"/>
              </w:rPr>
            </w:pP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11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多媒体设备的销售及计算机系统集成</w:t>
            </w:r>
            <w:r>
              <w:rPr>
                <w:rFonts w:hint="eastAsia" w:ascii="宋体" w:hAnsi="宋体"/>
                <w:bCs/>
                <w:iCs/>
                <w:szCs w:val="22"/>
              </w:rPr>
              <w:t>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cs="Lucida Sans"/>
                <w:b/>
                <w:szCs w:val="20"/>
              </w:rPr>
            </w:pPr>
            <w:r>
              <w:rPr>
                <w:rFonts w:hint="eastAsia" w:ascii="黑体" w:hAnsi="黑体" w:eastAsia="黑体" w:cs="黑体"/>
                <w:szCs w:val="21"/>
              </w:rPr>
              <w:t>办公设备:电脑/打印机/传真机/电话等</w:t>
            </w:r>
            <w:r>
              <w:rPr>
                <w:rFonts w:hint="eastAsia" w:cs="Lucida Sans"/>
                <w:b/>
                <w:szCs w:val="20"/>
              </w:rPr>
              <w:t>。提供维修保养计划及记录，满足要求。</w:t>
            </w:r>
          </w:p>
          <w:p>
            <w:pPr>
              <w:rPr>
                <w:rFonts w:cs="Lucida Sans"/>
                <w:b/>
                <w:szCs w:val="20"/>
              </w:rPr>
            </w:pPr>
            <w:r>
              <w:rPr>
                <w:rFonts w:hint="eastAsia" w:cs="Lucida Sans"/>
                <w:b/>
                <w:szCs w:val="20"/>
              </w:rPr>
              <w:t>环保设施包括：垃圾桶、消防设施；</w:t>
            </w:r>
          </w:p>
          <w:p>
            <w:r>
              <w:rPr>
                <w:rFonts w:hint="eastAsia" w:cs="Lucida Sans"/>
                <w:b/>
                <w:szCs w:val="20"/>
              </w:rPr>
              <w:t>安全设施配置主要有：标识牌、灭火器、消防器材等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olor w:val="000000" w:themeColor="text1"/>
                <w:sz w:val="20"/>
                <w:szCs w:val="20"/>
              </w:rPr>
              <w:t>办公面积</w:t>
            </w:r>
            <w:r>
              <w:rPr>
                <w:rFonts w:hint="eastAsia" w:ascii="宋体" w:hAnsi="宋体"/>
                <w:sz w:val="20"/>
                <w:szCs w:val="20"/>
              </w:rPr>
              <w:t>300</w:t>
            </w:r>
            <w:r>
              <w:rPr>
                <w:rFonts w:hint="eastAsia" w:ascii="宋体" w:hAnsi="宋体" w:cs="宋体"/>
                <w:szCs w:val="21"/>
              </w:rPr>
              <w:t>平方米左右，主要生产设备包括：</w:t>
            </w:r>
            <w:r>
              <w:rPr>
                <w:rFonts w:hint="eastAsia" w:ascii="宋体" w:hAnsi="宋体" w:cs="宋体"/>
                <w:color w:val="000000"/>
                <w:szCs w:val="21"/>
              </w:rPr>
              <w:t>电脑及办公设备</w:t>
            </w:r>
            <w:r>
              <w:rPr>
                <w:rFonts w:hint="eastAsia" w:ascii="宋体" w:hAnsi="宋体"/>
                <w:szCs w:val="21"/>
              </w:rPr>
              <w:t>等</w:t>
            </w:r>
            <w:r>
              <w:rPr>
                <w:rFonts w:hint="eastAsia" w:ascii="宋体" w:hAnsi="宋体" w:cs="宋体"/>
                <w:kern w:val="0"/>
                <w:szCs w:val="21"/>
              </w:rPr>
              <w:t>。</w:t>
            </w:r>
            <w:r>
              <w:rPr>
                <w:rFonts w:hint="eastAsia" w:ascii="宋体" w:hAnsi="宋体" w:cs="宋体"/>
                <w:szCs w:val="21"/>
              </w:rPr>
              <w:t>可以满足</w:t>
            </w:r>
            <w:r>
              <w:rPr>
                <w:rFonts w:hint="eastAsia" w:ascii="宋体" w:hAnsi="宋体"/>
                <w:szCs w:val="21"/>
              </w:rPr>
              <w:t>工程招标代理</w:t>
            </w:r>
            <w:r>
              <w:rPr>
                <w:rFonts w:hint="eastAsia" w:ascii="宋体" w:hAnsi="宋体" w:cs="宋体"/>
                <w:szCs w:val="21"/>
              </w:rPr>
              <w:t>需要。办公室对设备按月方式进行点检维护保养，并实施</w:t>
            </w:r>
            <w:r>
              <w:rPr>
                <w:rFonts w:hint="eastAsia" w:ascii="宋体" w:hAnsi="宋体" w:cs="宋体"/>
                <w:color w:val="000000"/>
                <w:szCs w:val="21"/>
              </w:rPr>
              <w:t>。特种设备：</w:t>
            </w:r>
            <w:r>
              <w:rPr>
                <w:rFonts w:hint="eastAsia" w:ascii="宋体" w:hAnsi="宋体"/>
                <w:szCs w:val="21"/>
              </w:rPr>
              <w:t>无。</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ascii="宋体" w:hAnsi="宋体"/>
                <w:b/>
                <w:sz w:val="21"/>
                <w:szCs w:val="21"/>
              </w:rPr>
            </w:pPr>
            <w:r>
              <w:rPr>
                <w:rFonts w:hint="eastAsia" w:ascii="宋体" w:hAnsi="宋体"/>
                <w:b/>
                <w:sz w:val="21"/>
                <w:szCs w:val="21"/>
              </w:rPr>
              <w:t>监视和测量资源</w:t>
            </w:r>
          </w:p>
          <w:p>
            <w:pPr>
              <w:spacing w:line="400" w:lineRule="exact"/>
              <w:rPr>
                <w:rFonts w:ascii="宋体" w:hAnsi="宋体" w:cs="宋体"/>
                <w:szCs w:val="21"/>
                <w:highlight w:val="green"/>
              </w:rPr>
            </w:pPr>
            <w:r>
              <w:rPr>
                <w:rFonts w:hint="eastAsia" w:ascii="宋体" w:hAnsi="宋体"/>
                <w:szCs w:val="21"/>
              </w:rPr>
              <w:t>公司主要向客户提供提供工程招标代理服务，</w:t>
            </w:r>
            <w:r>
              <w:rPr>
                <w:rFonts w:hint="eastAsia"/>
                <w:szCs w:val="21"/>
              </w:rPr>
              <w:t>采取人为检查、核对方式进行</w:t>
            </w:r>
            <w:r>
              <w:rPr>
                <w:rFonts w:hint="eastAsia" w:ascii="宋体" w:hAnsi="宋体"/>
                <w:szCs w:val="21"/>
              </w:rPr>
              <w:t>，未配置相应的监视和测量设备，可满足工程招标代理的需要。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cs="Lucida Sans"/>
                <w:b/>
                <w:szCs w:val="20"/>
              </w:rPr>
              <w:t>环保设施包括：垃圾桶、消防设施</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pStyle w:val="2"/>
              <w:rPr>
                <w:b/>
                <w:sz w:val="20"/>
                <w:szCs w:val="20"/>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r>
              <w:rPr>
                <w:rFonts w:hint="eastAsia"/>
              </w:rPr>
              <w:t>提供《服务过程确认记录表》，确认内容包括：服务方法和程序、设备工具的认可、人员资格的鉴定、记录要求等。评审结论：根据公司实际情况</w:t>
            </w:r>
            <w:r>
              <w:rPr>
                <w:rFonts w:hint="eastAsia" w:ascii="宋体" w:hAnsi="宋体"/>
              </w:rPr>
              <w:t>工程招标代理</w:t>
            </w:r>
            <w:r>
              <w:rPr>
                <w:rFonts w:hint="eastAsia"/>
              </w:rPr>
              <w:t xml:space="preserve">状态，从业人员经过培训，胜任本职工作，可以提供满足顾客要求、法律法规要求的服务。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制定并实施了产品检验控制规定，规定了公司各管理层次和品质部门在各阶段对</w:t>
            </w:r>
            <w:r>
              <w:rPr>
                <w:rFonts w:hint="eastAsia" w:ascii="宋体" w:hAnsi="宋体" w:cs="宋体"/>
                <w:color w:val="000000"/>
                <w:szCs w:val="21"/>
                <w:lang w:val="en-US" w:eastAsia="zh-CN"/>
              </w:rPr>
              <w:t>工程招标代理</w:t>
            </w:r>
            <w:r>
              <w:rPr>
                <w:rFonts w:hint="eastAsia" w:ascii="宋体" w:hAnsi="宋体" w:cs="宋体"/>
                <w:color w:val="000000"/>
                <w:szCs w:val="21"/>
              </w:rPr>
              <w:t>服务质量实施检查与验收的管理要求。内容基本具备全面性、系统性及可操作性以此保证持续向顾客稳定提供稳定合格的</w:t>
            </w:r>
            <w:r>
              <w:rPr>
                <w:rFonts w:hint="eastAsia" w:ascii="宋体" w:hAnsi="宋体" w:cs="宋体"/>
                <w:color w:val="000000"/>
                <w:szCs w:val="21"/>
                <w:lang w:val="en-US" w:eastAsia="zh-CN"/>
              </w:rPr>
              <w:t>招标代理服务</w:t>
            </w:r>
            <w:r>
              <w:rPr>
                <w:rFonts w:hint="eastAsia" w:ascii="宋体" w:hAnsi="宋体" w:cs="宋体"/>
                <w:color w:val="000000"/>
                <w:szCs w:val="21"/>
              </w:rPr>
              <w:t>。</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hint="eastAsia" w:ascii="宋体" w:hAnsi="宋体" w:eastAsia="宋体"/>
                <w:b/>
                <w:sz w:val="21"/>
                <w:szCs w:val="21"/>
                <w:lang w:val="en-US" w:eastAsia="zh-CN"/>
              </w:rPr>
            </w:pPr>
            <w:r>
              <w:rPr>
                <w:rFonts w:hint="eastAsia" w:ascii="宋体" w:hAnsi="宋体"/>
                <w:b/>
                <w:sz w:val="21"/>
                <w:szCs w:val="21"/>
              </w:rPr>
              <w:t>（附相关证据）：</w:t>
            </w:r>
            <w:r>
              <w:rPr>
                <w:rFonts w:hint="eastAsia" w:ascii="宋体" w:hAnsi="宋体"/>
                <w:b/>
                <w:sz w:val="21"/>
                <w:szCs w:val="21"/>
                <w:lang w:val="en-US" w:eastAsia="zh-CN"/>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Theme="minorEastAsia" w:hAnsiTheme="minorEastAsia" w:eastAsiaTheme="minorEastAsia"/>
                <w:bCs/>
                <w:iCs/>
              </w:rPr>
            </w:pPr>
          </w:p>
          <w:p>
            <w:pPr>
              <w:spacing w:line="240" w:lineRule="exact"/>
              <w:ind w:firstLine="240" w:firstLineChars="100"/>
              <w:rPr>
                <w:rFonts w:ascii="宋体" w:hAnsi="宋体"/>
                <w:b/>
                <w:sz w:val="21"/>
                <w:szCs w:val="21"/>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tabs>
                <w:tab w:val="left" w:pos="2552"/>
              </w:tabs>
              <w:spacing w:line="360" w:lineRule="exact"/>
              <w:ind w:firstLine="316" w:firstLineChars="150"/>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tabs>
                <w:tab w:val="left" w:pos="2552"/>
              </w:tabs>
              <w:spacing w:line="360" w:lineRule="exact"/>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szCs w:val="21"/>
              </w:rPr>
              <w:t>火灾、触电、职业病等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bCs/>
                <w:szCs w:val="21"/>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p>
          <w:p>
            <w:pPr>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80" w:firstLineChars="200"/>
              <w:rPr>
                <w:rFonts w:hint="eastAsia" w:ascii="宋体" w:hAnsi="宋体" w:cs="宋体"/>
                <w:color w:val="000000"/>
                <w:szCs w:val="21"/>
              </w:rPr>
            </w:pPr>
          </w:p>
          <w:p>
            <w:pPr>
              <w:numPr>
                <w:ilvl w:val="0"/>
                <w:numId w:val="0"/>
              </w:numPr>
              <w:spacing w:line="240" w:lineRule="exact"/>
              <w:ind w:leftChars="-50" w:firstLine="480" w:firstLineChars="200"/>
              <w:rPr>
                <w:rFonts w:ascii="宋体" w:hAnsi="宋体"/>
                <w:b/>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000000"/>
                <w:szCs w:val="21"/>
                <w:lang w:val="en-US" w:eastAsia="zh-CN"/>
              </w:rPr>
              <w:t>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b/>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rPr>
                <w:b/>
                <w:sz w:val="20"/>
                <w:szCs w:val="20"/>
              </w:rPr>
            </w:pPr>
          </w:p>
          <w:p>
            <w:pPr>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240" w:lineRule="exact"/>
              <w:rPr>
                <w:b/>
                <w:sz w:val="20"/>
                <w:szCs w:val="20"/>
              </w:rPr>
            </w:pPr>
          </w:p>
          <w:p>
            <w:pPr>
              <w:spacing w:line="240" w:lineRule="exact"/>
              <w:rPr>
                <w:b/>
                <w:sz w:val="20"/>
                <w:szCs w:val="20"/>
              </w:rPr>
            </w:pPr>
          </w:p>
          <w:p>
            <w:pPr>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300" w:lineRule="exact"/>
              <w:rPr>
                <w:b/>
                <w:sz w:val="20"/>
                <w:szCs w:val="20"/>
              </w:rPr>
            </w:pPr>
          </w:p>
          <w:p>
            <w:pPr>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p>
          <w:p>
            <w:pPr>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企业至今无创新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rPr>
                <w:rFonts w:ascii="宋体" w:hAnsi="宋体"/>
                <w:b/>
                <w:sz w:val="21"/>
                <w:szCs w:val="21"/>
              </w:rPr>
            </w:pPr>
            <w:r>
              <w:rPr>
                <w:rFonts w:hint="eastAsia"/>
                <w:lang w:val="en-US" w:eastAsia="zh-CN"/>
              </w:rPr>
              <w:t>上次不符合：“</w:t>
            </w:r>
            <w:r>
              <w:rPr>
                <w:rFonts w:hint="eastAsia"/>
              </w:rPr>
              <w:t>未对质量、环境和职业健康安全管理体系涉及的法律法规进行培训，不能确保必须的能力</w:t>
            </w:r>
            <w:r>
              <w:rPr>
                <w:rFonts w:hint="eastAsia"/>
                <w:lang w:eastAsia="zh-CN"/>
              </w:rPr>
              <w:t>”</w:t>
            </w:r>
            <w:r>
              <w:rPr>
                <w:rFonts w:hint="eastAsia"/>
                <w:lang w:val="en-US" w:eastAsia="zh-CN"/>
              </w:rPr>
              <w:t>此次审核已经已经对法律法规进行培训，整改有效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rFonts w:ascii="宋体" w:hAnsi="宋体"/>
                <w:szCs w:val="21"/>
              </w:rPr>
              <w:t>秦皇岛建友工程项目管理有限公司</w:t>
            </w:r>
            <w:r>
              <w:rPr>
                <w:rFonts w:hint="eastAsia"/>
                <w:color w:val="000000" w:themeColor="text1"/>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rPr>
                <w:color w:val="000000" w:themeColor="text1"/>
              </w:rPr>
            </w:pPr>
          </w:p>
          <w:p>
            <w:pPr>
              <w:spacing w:line="240" w:lineRule="exact"/>
              <w:rPr>
                <w:color w:val="000000" w:themeColor="text1"/>
              </w:rPr>
            </w:pPr>
            <w:r>
              <w:rPr>
                <w:rFonts w:hint="eastAsia"/>
                <w:color w:val="000000" w:themeColor="text1"/>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0288" behindDoc="1" locked="0" layoutInCell="1" allowOverlap="1">
            <wp:simplePos x="0" y="0"/>
            <wp:positionH relativeFrom="column">
              <wp:posOffset>1731645</wp:posOffset>
            </wp:positionH>
            <wp:positionV relativeFrom="paragraph">
              <wp:posOffset>185420</wp:posOffset>
            </wp:positionV>
            <wp:extent cx="631190" cy="424815"/>
            <wp:effectExtent l="0" t="0" r="3810" b="6985"/>
            <wp:wrapTight wrapText="bothSides">
              <wp:wrapPolygon>
                <wp:start x="0" y="0"/>
                <wp:lineTo x="0" y="20664"/>
                <wp:lineTo x="21296" y="20664"/>
                <wp:lineTo x="2129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31190" cy="42481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A271E"/>
    <w:multiLevelType w:val="singleLevel"/>
    <w:tmpl w:val="858A271E"/>
    <w:lvl w:ilvl="0" w:tentative="0">
      <w:start w:val="3"/>
      <w:numFmt w:val="decimal"/>
      <w:lvlText w:val="%1."/>
      <w:lvlJc w:val="left"/>
      <w:pPr>
        <w:tabs>
          <w:tab w:val="left" w:pos="312"/>
        </w:tabs>
      </w:pPr>
    </w:lvl>
  </w:abstractNum>
  <w:abstractNum w:abstractNumId="1">
    <w:nsid w:val="B2C76FFC"/>
    <w:multiLevelType w:val="singleLevel"/>
    <w:tmpl w:val="B2C76FFC"/>
    <w:lvl w:ilvl="0" w:tentative="0">
      <w:start w:val="2"/>
      <w:numFmt w:val="decimal"/>
      <w:suff w:val="nothing"/>
      <w:lvlText w:val="%1、"/>
      <w:lvlJc w:val="left"/>
    </w:lvl>
  </w:abstractNum>
  <w:abstractNum w:abstractNumId="2">
    <w:nsid w:val="F41E85D6"/>
    <w:multiLevelType w:val="singleLevel"/>
    <w:tmpl w:val="F41E85D6"/>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11985E0"/>
    <w:multiLevelType w:val="singleLevel"/>
    <w:tmpl w:val="611985E0"/>
    <w:lvl w:ilvl="0" w:tentative="0">
      <w:start w:val="8"/>
      <w:numFmt w:val="decimal"/>
      <w:suff w:val="space"/>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B70C07"/>
    <w:rsid w:val="1CAA097B"/>
    <w:rsid w:val="230C7B3E"/>
    <w:rsid w:val="47D00934"/>
    <w:rsid w:val="6D0A184D"/>
    <w:rsid w:val="6F9D0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2021-04-26T12:04:53Z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AF4AF2F5C0F64ABE94C3DAD55A465879</vt:lpwstr>
  </property>
</Properties>
</file>