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秦皇岛建友工程项目管理有限公司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Q：34.01.02;35.04.02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E：34.01.02;35.04.02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Q：34.01.02;35.04.02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E：34.01.02;35.04.02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工程招标代理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</w:rPr>
              <w:t>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签订委托协议——立项——编制招标文书——发布招标公告——标书售卖及保证金收取——标前准备——开标—评标--发布中标公告及中标通知书--签订中标合同--备案及归档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 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工程造价咨询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</w:rPr>
              <w:t>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获得工程造价</w:t>
            </w:r>
            <w:r>
              <w:rPr>
                <w:rFonts w:ascii="宋体" w:hAnsi="宋体"/>
                <w:sz w:val="21"/>
                <w:szCs w:val="21"/>
              </w:rPr>
              <w:t>咨询需求信息</w:t>
            </w:r>
            <w:r>
              <w:rPr>
                <w:rFonts w:hint="eastAsia" w:ascii="宋体" w:hAnsi="宋体"/>
                <w:sz w:val="21"/>
                <w:szCs w:val="21"/>
              </w:rPr>
              <w:t>—— 可行性分析——咨询计划/咨询投标文件编制和评审 —— 合同评审——咨询合同签订--确定项目组---技术、资源准备---工程造价咨询实施---工程造价成果文件支付---成果文件支付后活动。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标书编制和造价成果编制通过</w:t>
            </w:r>
            <w:r>
              <w:rPr>
                <w:rFonts w:ascii="宋体" w:hAnsi="宋体"/>
                <w:sz w:val="21"/>
                <w:szCs w:val="21"/>
              </w:rPr>
              <w:t>立项</w:t>
            </w:r>
            <w:r>
              <w:rPr>
                <w:rFonts w:hint="eastAsia" w:ascii="宋体" w:hAnsi="宋体"/>
                <w:sz w:val="21"/>
                <w:szCs w:val="21"/>
              </w:rPr>
              <w:t>、可行性分析和拟定计划来控制编制质量。存在的风险为编制不符合标准要求，造成流标或审批不通过。通过制定操作规范进行过程质量控制。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潜在火灾、固废排放，采取管理方案和应急预防进行控制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火灾、触电，采取管理方案和应急预防进行控制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《政府采购公开（邀请）招标操作规程》（</w:t>
            </w:r>
            <w:r>
              <w:fldChar w:fldCharType="begin"/>
            </w:r>
            <w:r>
              <w:instrText xml:space="preserve"> HYPERLINK "http://www.csres.com/detail/266747.html"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>DB51/T 1945-2014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）、《工程建设公开（邀请）招标操作规程》（</w:t>
            </w:r>
            <w:r>
              <w:fldChar w:fldCharType="begin"/>
            </w:r>
            <w:r>
              <w:instrText xml:space="preserve"> HYPERLINK "http://www.csres.com/detail/266750.html"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>DB51/T 1948-2014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）、</w:t>
            </w:r>
            <w:r>
              <w:rPr>
                <w:rFonts w:hint="eastAsia" w:ascii="宋体" w:hAnsi="宋体"/>
                <w:sz w:val="21"/>
                <w:szCs w:val="21"/>
              </w:rPr>
              <w:t>《建设工程质量管理条例》（国务院第279号令）、《建设工程工程量清单计价规范》GB50500-2003</w:t>
            </w:r>
            <w:r>
              <w:rPr>
                <w:rFonts w:hint="eastAsia" w:ascii="宋体" w:hAnsi="宋体" w:cs="宋体"/>
                <w:sz w:val="21"/>
                <w:szCs w:val="21"/>
              </w:rPr>
              <w:t>《中华人民共和国招投法》、《建设工程项目管理试行办法》、《建设工程造价咨询规范》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标准的符合性、编制的规范性。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2021.4.25</w:t>
      </w:r>
      <w:r>
        <w:rPr>
          <w:rFonts w:ascii="宋体"/>
          <w:b/>
          <w:sz w:val="22"/>
          <w:szCs w:val="22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2021.4.25</w:t>
      </w:r>
      <w:r>
        <w:rPr>
          <w:rFonts w:ascii="宋体"/>
          <w:b/>
          <w:sz w:val="22"/>
          <w:szCs w:val="22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1C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2021-04-26T05:40:48Z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010DCC95732C4F10B105B3BF57A2064D</vt:lpwstr>
  </property>
</Properties>
</file>