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left"/>
        <w:rPr>
          <w:rFonts w:hint="default"/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附录A</w:t>
      </w:r>
      <w:r>
        <w:rPr>
          <w:rFonts w:hint="eastAsia"/>
          <w:b/>
          <w:bCs/>
          <w:sz w:val="28"/>
          <w:szCs w:val="2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>
      <w:pPr>
        <w:pStyle w:val="2"/>
        <w:spacing w:line="240" w:lineRule="auto"/>
        <w:jc w:val="center"/>
        <w:rPr>
          <w:rFonts w:hint="eastAsia" w:ascii="宋体" w:hAnsi="宋体" w:eastAsia="宋体" w:cs="宋体"/>
          <w:b/>
          <w:bCs/>
          <w:snapToGrid w:val="0"/>
          <w:kern w:val="0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不锈钢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钢带厚度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测量过程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0"/>
          <w:szCs w:val="30"/>
        </w:rPr>
        <w:t>不确定评定报告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GB/T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3280-2015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不锈钢冷轧钢板和钢带》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外径千分尺</w:t>
      </w:r>
      <w:r>
        <w:rPr>
          <w:rFonts w:hint="default" w:ascii="Times New Roman" w:hAnsi="Times New Roman" w:eastAsia="宋体" w:cs="Times New Roman"/>
          <w:sz w:val="24"/>
          <w:szCs w:val="24"/>
        </w:rPr>
        <w:t>（0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～25</w:t>
      </w:r>
      <w:r>
        <w:rPr>
          <w:rFonts w:hint="default" w:ascii="Times New Roman" w:hAnsi="Times New Roman" w:eastAsia="宋体" w:cs="Times New Roman"/>
          <w:sz w:val="24"/>
          <w:szCs w:val="24"/>
        </w:rPr>
        <w:t>）mm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eastAsia" w:cs="Times New Roman"/>
          <w:sz w:val="24"/>
          <w:szCs w:val="24"/>
          <w:lang w:val="en-US" w:eastAsia="zh-CN"/>
        </w:rPr>
        <w:t>最大允许误差：</w:t>
      </w:r>
      <w:r>
        <w:rPr>
          <w:rFonts w:hint="default" w:ascii="Times New Roman" w:hAnsi="Times New Roman" w:eastAsia="宋体" w:cs="Times New Roman"/>
          <w:sz w:val="24"/>
          <w:szCs w:val="24"/>
        </w:rPr>
        <w:t>±0.0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sz w:val="24"/>
          <w:szCs w:val="24"/>
        </w:rPr>
        <w:t>mm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不锈钢</w:t>
      </w:r>
      <w:r>
        <w:rPr>
          <w:rFonts w:hint="eastAsia" w:cs="Times New Roman"/>
          <w:sz w:val="24"/>
          <w:szCs w:val="24"/>
          <w:lang w:val="en-US" w:eastAsia="zh-CN"/>
        </w:rPr>
        <w:t>钢带厚度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1.5±0.0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mm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480" w:hanging="480" w:hangingChars="200"/>
        <w:textAlignment w:val="auto"/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1.5、测量过程：将被测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样件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稳固放置，</w:t>
      </w:r>
      <w:r>
        <w:rPr>
          <w:rFonts w:hint="default" w:ascii="Times New Roman" w:hAnsi="Times New Roman" w:eastAsia="宋体" w:cs="Times New Roman"/>
          <w:sz w:val="24"/>
          <w:szCs w:val="24"/>
        </w:rPr>
        <w:t>将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外径千分尺</w:t>
      </w:r>
      <w:r>
        <w:rPr>
          <w:rFonts w:hint="default" w:ascii="Times New Roman" w:hAnsi="Times New Roman" w:eastAsia="宋体" w:cs="Times New Roman"/>
          <w:sz w:val="24"/>
          <w:szCs w:val="24"/>
        </w:rPr>
        <w:t>对准零位后，测量</w:t>
      </w:r>
      <w:r>
        <w:rPr>
          <w:rFonts w:hint="eastAsia" w:cs="Times New Roman"/>
          <w:sz w:val="24"/>
          <w:szCs w:val="24"/>
          <w:lang w:val="en-US" w:eastAsia="zh-CN"/>
        </w:rPr>
        <w:t>钢带</w:t>
      </w:r>
      <w:r>
        <w:rPr>
          <w:rFonts w:hint="default" w:ascii="Times New Roman" w:hAnsi="Times New Roman" w:eastAsia="宋体" w:cs="Times New Roman"/>
          <w:sz w:val="24"/>
          <w:szCs w:val="24"/>
        </w:rPr>
        <w:t>厚</w:t>
      </w:r>
      <w:r>
        <w:rPr>
          <w:rFonts w:hint="eastAsia" w:cs="Times New Roman"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sz w:val="24"/>
          <w:szCs w:val="24"/>
        </w:rPr>
        <w:t>尺寸，读取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外径千分尺</w:t>
      </w:r>
      <w:r>
        <w:rPr>
          <w:rFonts w:hint="default" w:ascii="Times New Roman" w:hAnsi="Times New Roman" w:eastAsia="宋体" w:cs="Times New Roman"/>
          <w:sz w:val="24"/>
          <w:szCs w:val="24"/>
        </w:rPr>
        <w:t>示值即为</w:t>
      </w:r>
      <w:r>
        <w:rPr>
          <w:rFonts w:hint="eastAsia" w:cs="Times New Roman"/>
          <w:sz w:val="24"/>
          <w:szCs w:val="24"/>
          <w:lang w:val="en-US" w:eastAsia="zh-CN"/>
        </w:rPr>
        <w:t>钢带厚度</w:t>
      </w:r>
      <w:r>
        <w:rPr>
          <w:rFonts w:hint="default" w:ascii="Times New Roman" w:hAnsi="Times New Roman" w:eastAsia="宋体" w:cs="Times New Roman"/>
          <w:sz w:val="24"/>
          <w:szCs w:val="24"/>
        </w:rPr>
        <w:t>尺寸，记录数据</w:t>
      </w:r>
      <w:r>
        <w:rPr>
          <w:rFonts w:hint="eastAsia" w:cs="Times New Roman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Chars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1320" w:firstLineChars="5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不锈钢</w:t>
      </w:r>
      <w:r>
        <w:rPr>
          <w:rFonts w:hint="eastAsia" w:cs="Times New Roman"/>
          <w:sz w:val="24"/>
          <w:szCs w:val="24"/>
          <w:lang w:val="en-US" w:eastAsia="zh-CN"/>
        </w:rPr>
        <w:t>钢带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厚度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不锈钢</w:t>
      </w:r>
      <w:r>
        <w:rPr>
          <w:rFonts w:hint="eastAsia" w:cs="Times New Roman"/>
          <w:sz w:val="24"/>
          <w:szCs w:val="24"/>
          <w:lang w:val="en-US" w:eastAsia="zh-CN"/>
        </w:rPr>
        <w:t>钢带厚度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16" w:firstLineChars="257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eastAsia" w:cs="Times New Roman"/>
          <w:sz w:val="24"/>
          <w:szCs w:val="24"/>
          <w:lang w:val="en-US" w:eastAsia="zh-CN"/>
        </w:rPr>
        <w:t>主要来源于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16" w:firstLineChars="257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25" o:spt="75" type="#_x0000_t75" style="height:16.7pt;width:1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16" w:firstLineChars="257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26" o:spt="75" type="#_x0000_t75" style="height:16.7pt;width:12.8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27" o:spt="75" type="#_x0000_t75" style="height:16.7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输入量测量重复性不确定度的来源主要是测量重复性引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做</w:t>
      </w:r>
      <w:r>
        <w:rPr>
          <w:rFonts w:hint="default" w:ascii="Times New Roman" w:hAnsi="Times New Roman" w:eastAsia="宋体" w:cs="Times New Roman"/>
          <w:sz w:val="24"/>
          <w:szCs w:val="24"/>
        </w:rPr>
        <w:t>A类评定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外径千分尺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正常工作状态下，同一组人，用同一台设备，在相临近的时间内，对被测试件连续测量10次，得10个测量数据汇于表1：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3600" w:firstLineChars="15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1:</w:t>
      </w:r>
      <w:r>
        <w:rPr>
          <w:rFonts w:hint="default" w:ascii="Times New Roman" w:hAnsi="Times New Roman" w:eastAsia="宋体" w:cs="Times New Roman"/>
          <w:sz w:val="24"/>
          <w:szCs w:val="24"/>
        </w:rPr>
        <w:t>重复性数据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11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52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103" w:leftChars="49"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L(mm)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498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499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11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52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103" w:leftChars="49"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L(mm)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499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1.50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3600" w:firstLineChars="15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被测试件测量值的平均值：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8" o:spt="75" type="#_x0000_t75" style="height:37.4pt;width:121.9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单个测量值的实验标准差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9" o:spt="75" type="#_x0000_t75" style="height:45pt;width:190.1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0" o:spt="75" type="#_x0000_t75" style="height:17pt;width:1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1" o:spt="75" type="#_x0000_t75" style="height:17pt;width:1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1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32" o:spt="75" type="#_x0000_t75" style="height:16.7pt;width:1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33" o:spt="75" type="#_x0000_t75" style="height:33pt;width:150.9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</w:t>
      </w:r>
      <w:r>
        <w:rPr>
          <w:rFonts w:hint="eastAsia" w:cs="Times New Roman"/>
          <w:sz w:val="24"/>
          <w:szCs w:val="24"/>
          <w:lang w:val="en-US" w:eastAsia="zh-CN"/>
        </w:rPr>
        <w:t>最大允许</w:t>
      </w:r>
      <w:r>
        <w:rPr>
          <w:rFonts w:hint="default" w:ascii="Times New Roman" w:hAnsi="Times New Roman" w:eastAsia="宋体" w:cs="Times New Roman"/>
          <w:sz w:val="24"/>
          <w:szCs w:val="24"/>
        </w:rPr>
        <w:t>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kern w:val="0"/>
          <w:position w:val="-10"/>
          <w:sz w:val="24"/>
          <w:szCs w:val="24"/>
        </w:rPr>
        <w:object>
          <v:shape id="_x0000_i1034" o:spt="75" type="#_x0000_t75" style="height:16.75pt;width:12.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外径千分尺</w:t>
      </w:r>
      <w:r>
        <w:rPr>
          <w:rFonts w:hint="default" w:ascii="Times New Roman" w:hAnsi="Times New Roman" w:eastAsia="宋体" w:cs="Times New Roman"/>
          <w:sz w:val="24"/>
          <w:szCs w:val="24"/>
        </w:rPr>
        <w:t>的示值误差为±0.0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sz w:val="24"/>
          <w:szCs w:val="24"/>
        </w:rPr>
        <w:t>mm，服从均匀分布，取α=</w:t>
      </w:r>
      <w:r>
        <w:rPr>
          <w:rFonts w:hint="eastAsia" w:cs="Times New Roman"/>
          <w:sz w:val="24"/>
          <w:szCs w:val="24"/>
          <w:lang w:val="en-US" w:eastAsia="zh-CN"/>
        </w:rPr>
        <w:t>0.004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eastAsia" w:cs="Times New Roman"/>
          <w:sz w:val="24"/>
          <w:szCs w:val="24"/>
          <w:lang w:val="en-US" w:eastAsia="zh-CN"/>
        </w:rPr>
        <w:t>包含因子k=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eg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3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e>
        </m:rad>
      </m:oMath>
      <w:r>
        <w:rPr>
          <w:rFonts w:hint="eastAsia" w:hAnsi="Cambria Math" w:cs="Times New Roman"/>
          <w:i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>则由设备示值误差引入的不确定分量为：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142" w:firstLine="2980" w:firstLineChars="1242"/>
        <w:textAlignment w:val="auto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position w:val="-26"/>
          <w:sz w:val="24"/>
          <w:szCs w:val="24"/>
        </w:rPr>
        <w:object>
          <v:shape id="_x0000_i1035" o:spt="75" alt="" type="#_x0000_t75" style="height:30pt;width:137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测量重复性所引入的不确定度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61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合成标准不确定度可按下式得到：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6"/>
          <w:sz w:val="24"/>
          <w:szCs w:val="24"/>
          <w:vertAlign w:val="subscript"/>
        </w:rPr>
        <w:object>
          <v:shape id="_x0000_i1036" o:spt="75" alt="" type="#_x0000_t75" style="height:23.75pt;width:215.5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36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2,置信概率 95％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780" w:firstLine="780" w:firstLineChars="325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＝2×0.0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cs="Times New Roman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sz w:val="24"/>
          <w:szCs w:val="24"/>
        </w:rPr>
        <w:t>mm＝0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.0</w:t>
      </w:r>
      <w:r>
        <w:rPr>
          <w:rFonts w:hint="eastAsia" w:cs="Times New Roman"/>
          <w:sz w:val="24"/>
          <w:szCs w:val="24"/>
          <w:lang w:val="en-US" w:eastAsia="zh-CN"/>
        </w:rPr>
        <w:t>05</w:t>
      </w:r>
      <w:r>
        <w:rPr>
          <w:rFonts w:hint="default" w:ascii="Times New Roman" w:hAnsi="Times New Roman" w:eastAsia="宋体" w:cs="Times New Roman"/>
          <w:sz w:val="24"/>
          <w:szCs w:val="24"/>
        </w:rPr>
        <w:t>mm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780" w:firstLine="919" w:firstLineChars="383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>0.0</w:t>
      </w:r>
      <w:r>
        <w:rPr>
          <w:rFonts w:hint="eastAsia" w:cs="Times New Roman"/>
          <w:sz w:val="24"/>
          <w:szCs w:val="24"/>
          <w:lang w:val="en-US" w:eastAsia="zh-CN"/>
        </w:rPr>
        <w:t>05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mm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7162"/>
    <w:rsid w:val="001E3A13"/>
    <w:rsid w:val="00227CDF"/>
    <w:rsid w:val="00553067"/>
    <w:rsid w:val="00592E16"/>
    <w:rsid w:val="006E25D7"/>
    <w:rsid w:val="00732A29"/>
    <w:rsid w:val="007A44C6"/>
    <w:rsid w:val="00A92CEC"/>
    <w:rsid w:val="00AB15B9"/>
    <w:rsid w:val="00B23EC5"/>
    <w:rsid w:val="00B72BDD"/>
    <w:rsid w:val="00D60E80"/>
    <w:rsid w:val="00E043D6"/>
    <w:rsid w:val="00F55B64"/>
    <w:rsid w:val="00F90B91"/>
    <w:rsid w:val="012A7FE2"/>
    <w:rsid w:val="015416E6"/>
    <w:rsid w:val="024025BA"/>
    <w:rsid w:val="02D10F61"/>
    <w:rsid w:val="033C61BB"/>
    <w:rsid w:val="033C6CE8"/>
    <w:rsid w:val="06354F1C"/>
    <w:rsid w:val="0684477D"/>
    <w:rsid w:val="074914CA"/>
    <w:rsid w:val="07813E62"/>
    <w:rsid w:val="07A54DAE"/>
    <w:rsid w:val="082852F7"/>
    <w:rsid w:val="0A9A5E74"/>
    <w:rsid w:val="0B0B039F"/>
    <w:rsid w:val="0CED226C"/>
    <w:rsid w:val="0E2137A4"/>
    <w:rsid w:val="0E570075"/>
    <w:rsid w:val="0F334CE9"/>
    <w:rsid w:val="0F492F44"/>
    <w:rsid w:val="0F89424F"/>
    <w:rsid w:val="10C76CC6"/>
    <w:rsid w:val="11062BEE"/>
    <w:rsid w:val="114B0031"/>
    <w:rsid w:val="132142FE"/>
    <w:rsid w:val="139C6110"/>
    <w:rsid w:val="13AD63AE"/>
    <w:rsid w:val="13CB519A"/>
    <w:rsid w:val="150669D4"/>
    <w:rsid w:val="15577EC7"/>
    <w:rsid w:val="159C1D1A"/>
    <w:rsid w:val="1651438D"/>
    <w:rsid w:val="183E7280"/>
    <w:rsid w:val="18B23F30"/>
    <w:rsid w:val="19E65F1D"/>
    <w:rsid w:val="1A2A38DE"/>
    <w:rsid w:val="1AE95F4D"/>
    <w:rsid w:val="1AF92720"/>
    <w:rsid w:val="1AFC0AA7"/>
    <w:rsid w:val="1B2A74E6"/>
    <w:rsid w:val="1BE83ECF"/>
    <w:rsid w:val="1D5D7C6E"/>
    <w:rsid w:val="1D99516E"/>
    <w:rsid w:val="20380E11"/>
    <w:rsid w:val="21BA3713"/>
    <w:rsid w:val="21BF4185"/>
    <w:rsid w:val="22242A16"/>
    <w:rsid w:val="223F6863"/>
    <w:rsid w:val="2257687F"/>
    <w:rsid w:val="22DD7592"/>
    <w:rsid w:val="237F7074"/>
    <w:rsid w:val="23A5138B"/>
    <w:rsid w:val="24836E05"/>
    <w:rsid w:val="254D786C"/>
    <w:rsid w:val="26520B85"/>
    <w:rsid w:val="266F2FDB"/>
    <w:rsid w:val="26954E09"/>
    <w:rsid w:val="2720587C"/>
    <w:rsid w:val="27DF7713"/>
    <w:rsid w:val="295E52F6"/>
    <w:rsid w:val="2A2A582A"/>
    <w:rsid w:val="2A2F1817"/>
    <w:rsid w:val="2C1B093A"/>
    <w:rsid w:val="2CA95F12"/>
    <w:rsid w:val="2CFE7B58"/>
    <w:rsid w:val="2D437454"/>
    <w:rsid w:val="2DBB4F6C"/>
    <w:rsid w:val="2DBD3E4F"/>
    <w:rsid w:val="2E5E35F6"/>
    <w:rsid w:val="2EC93DDC"/>
    <w:rsid w:val="2F001AC3"/>
    <w:rsid w:val="2F1E200F"/>
    <w:rsid w:val="2F306C78"/>
    <w:rsid w:val="2F985D32"/>
    <w:rsid w:val="2FA50E6E"/>
    <w:rsid w:val="329B5D42"/>
    <w:rsid w:val="32C755ED"/>
    <w:rsid w:val="34785C61"/>
    <w:rsid w:val="349B3CDF"/>
    <w:rsid w:val="34AD43B8"/>
    <w:rsid w:val="35CD24B3"/>
    <w:rsid w:val="36184782"/>
    <w:rsid w:val="3741761E"/>
    <w:rsid w:val="37682CFB"/>
    <w:rsid w:val="37A94C31"/>
    <w:rsid w:val="3A163D1F"/>
    <w:rsid w:val="3A1D0244"/>
    <w:rsid w:val="3A465CC2"/>
    <w:rsid w:val="3AA94754"/>
    <w:rsid w:val="3DA52452"/>
    <w:rsid w:val="3E782D86"/>
    <w:rsid w:val="3E914909"/>
    <w:rsid w:val="3EF73C9A"/>
    <w:rsid w:val="3F6318E7"/>
    <w:rsid w:val="404B1ADA"/>
    <w:rsid w:val="407A0847"/>
    <w:rsid w:val="409F2474"/>
    <w:rsid w:val="42D51AAC"/>
    <w:rsid w:val="43666874"/>
    <w:rsid w:val="43B525C0"/>
    <w:rsid w:val="43EB609A"/>
    <w:rsid w:val="452D6531"/>
    <w:rsid w:val="45B643FF"/>
    <w:rsid w:val="45FE3658"/>
    <w:rsid w:val="462C7D91"/>
    <w:rsid w:val="46915ADF"/>
    <w:rsid w:val="46942717"/>
    <w:rsid w:val="47A07B51"/>
    <w:rsid w:val="47D62180"/>
    <w:rsid w:val="47FA49F3"/>
    <w:rsid w:val="487954CE"/>
    <w:rsid w:val="492E08A0"/>
    <w:rsid w:val="493C18BB"/>
    <w:rsid w:val="49680B69"/>
    <w:rsid w:val="4AD918C9"/>
    <w:rsid w:val="4B466D02"/>
    <w:rsid w:val="4CD37E96"/>
    <w:rsid w:val="4DB2248A"/>
    <w:rsid w:val="4E07685E"/>
    <w:rsid w:val="4E310665"/>
    <w:rsid w:val="4E416634"/>
    <w:rsid w:val="4FDA309F"/>
    <w:rsid w:val="50A07371"/>
    <w:rsid w:val="51D71733"/>
    <w:rsid w:val="520B3430"/>
    <w:rsid w:val="526747A8"/>
    <w:rsid w:val="528447F7"/>
    <w:rsid w:val="53BC0C9F"/>
    <w:rsid w:val="54C603E3"/>
    <w:rsid w:val="55803F4D"/>
    <w:rsid w:val="558744B5"/>
    <w:rsid w:val="55985E5F"/>
    <w:rsid w:val="55B27004"/>
    <w:rsid w:val="56C86374"/>
    <w:rsid w:val="570411F3"/>
    <w:rsid w:val="57CC2099"/>
    <w:rsid w:val="57EE0F5D"/>
    <w:rsid w:val="58A13279"/>
    <w:rsid w:val="58C70B1F"/>
    <w:rsid w:val="58F90F65"/>
    <w:rsid w:val="59E404A7"/>
    <w:rsid w:val="5AC6231F"/>
    <w:rsid w:val="5B12033D"/>
    <w:rsid w:val="5C096AEE"/>
    <w:rsid w:val="5EAF7D71"/>
    <w:rsid w:val="5EFD54A6"/>
    <w:rsid w:val="5F060EF7"/>
    <w:rsid w:val="6001421E"/>
    <w:rsid w:val="605F0B66"/>
    <w:rsid w:val="608B4C0D"/>
    <w:rsid w:val="60C173E7"/>
    <w:rsid w:val="61513181"/>
    <w:rsid w:val="619B1BCE"/>
    <w:rsid w:val="62484C76"/>
    <w:rsid w:val="64701F3E"/>
    <w:rsid w:val="68255B3B"/>
    <w:rsid w:val="695F0B69"/>
    <w:rsid w:val="6A071061"/>
    <w:rsid w:val="6A370221"/>
    <w:rsid w:val="6A7D3D26"/>
    <w:rsid w:val="6BDE262E"/>
    <w:rsid w:val="6C347AA5"/>
    <w:rsid w:val="6CF710FC"/>
    <w:rsid w:val="6E9F7006"/>
    <w:rsid w:val="6F7F7358"/>
    <w:rsid w:val="6FE36DE5"/>
    <w:rsid w:val="6FFC36C6"/>
    <w:rsid w:val="703F78C8"/>
    <w:rsid w:val="70BE60D8"/>
    <w:rsid w:val="70F02CA1"/>
    <w:rsid w:val="711F53B4"/>
    <w:rsid w:val="72D84B70"/>
    <w:rsid w:val="72EF5E54"/>
    <w:rsid w:val="73361172"/>
    <w:rsid w:val="745D0E1C"/>
    <w:rsid w:val="75925870"/>
    <w:rsid w:val="784A63A9"/>
    <w:rsid w:val="78932B85"/>
    <w:rsid w:val="78EB596B"/>
    <w:rsid w:val="79C20835"/>
    <w:rsid w:val="7A1B2242"/>
    <w:rsid w:val="7A347A80"/>
    <w:rsid w:val="7A3757D9"/>
    <w:rsid w:val="7C3E2CBC"/>
    <w:rsid w:val="7F7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1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image" Target="media/image9.wmf"/><Relationship Id="rId22" Type="http://schemas.openxmlformats.org/officeDocument/2006/relationships/oleObject" Target="embeddings/oleObject10.bin"/><Relationship Id="rId21" Type="http://schemas.openxmlformats.org/officeDocument/2006/relationships/image" Target="media/image8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1150</Characters>
  <Lines>9</Lines>
  <Paragraphs>2</Paragraphs>
  <TotalTime>100</TotalTime>
  <ScaleCrop>false</ScaleCrop>
  <LinksUpToDate>false</LinksUpToDate>
  <CharactersWithSpaces>1349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金银铜铁</cp:lastModifiedBy>
  <dcterms:modified xsi:type="dcterms:W3CDTF">2021-04-28T03:11:48Z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2121D6F7F0FD4504B2709F58B6601D61</vt:lpwstr>
  </property>
</Properties>
</file>