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exact"/>
        <w:jc w:val="center"/>
        <w:rPr>
          <w:rFonts w:ascii="隶书" w:hAnsi="宋体" w:eastAsia="隶书"/>
          <w:bCs/>
          <w:color w:val="000000"/>
          <w:sz w:val="36"/>
          <w:szCs w:val="36"/>
        </w:rPr>
      </w:pPr>
      <w:r>
        <w:rPr>
          <w:rFonts w:hint="eastAsia" w:ascii="隶书" w:hAnsi="宋体" w:eastAsia="隶书"/>
          <w:bCs/>
          <w:color w:val="000000"/>
          <w:sz w:val="36"/>
          <w:szCs w:val="36"/>
        </w:rPr>
        <w:t>管理体系审核记录表</w:t>
      </w:r>
    </w:p>
    <w:p>
      <w:pPr>
        <w:rPr>
          <w:rFonts w:hint="eastAsia"/>
          <w:b/>
          <w:sz w:val="21"/>
        </w:rPr>
      </w:pPr>
      <w:r>
        <w:rPr>
          <w:rFonts w:hint="eastAsia"/>
        </w:rPr>
        <w:t xml:space="preserve">                                                                        </w:t>
      </w:r>
    </w:p>
    <w:p>
      <w:pPr>
        <w:jc w:val="left"/>
        <w:rPr>
          <w:rFonts w:hint="eastAsia"/>
          <w:b/>
          <w:sz w:val="21"/>
        </w:rPr>
      </w:pPr>
    </w:p>
    <w:tbl>
      <w:tblPr>
        <w:tblStyle w:val="5"/>
        <w:tblW w:w="5245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869"/>
        <w:gridCol w:w="11641"/>
        <w:gridCol w:w="8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atLeast"/>
        </w:trPr>
        <w:tc>
          <w:tcPr>
            <w:tcW w:w="513" w:type="pct"/>
            <w:vMerge w:val="restart"/>
            <w:noWrap w:val="0"/>
            <w:vAlign w:val="center"/>
          </w:tcPr>
          <w:p>
            <w:pPr>
              <w:spacing w:before="120"/>
              <w:jc w:val="both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过程与活动、抽样计划</w:t>
            </w:r>
          </w:p>
        </w:tc>
        <w:tc>
          <w:tcPr>
            <w:tcW w:w="292" w:type="pct"/>
            <w:vMerge w:val="restart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涉及</w:t>
            </w:r>
          </w:p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条款</w:t>
            </w:r>
          </w:p>
        </w:tc>
        <w:tc>
          <w:tcPr>
            <w:tcW w:w="3913" w:type="pct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受审核部门：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质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管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部     主管领导：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丁辉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 xml:space="preserve">     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陪同人员：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徐慧</w:t>
            </w:r>
          </w:p>
        </w:tc>
        <w:tc>
          <w:tcPr>
            <w:tcW w:w="280" w:type="pct"/>
            <w:vMerge w:val="restart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判定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513" w:type="pct"/>
            <w:vMerge w:val="continue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292" w:type="pct"/>
            <w:vMerge w:val="continue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913" w:type="pct"/>
            <w:noWrap w:val="0"/>
            <w:vAlign w:val="center"/>
          </w:tcPr>
          <w:p>
            <w:pPr>
              <w:spacing w:before="120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审核员：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伍光华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李俐提供技术支持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）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          审核时间：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2021.4.29</w:t>
            </w:r>
          </w:p>
        </w:tc>
        <w:tc>
          <w:tcPr>
            <w:tcW w:w="280" w:type="pct"/>
            <w:vMerge w:val="continue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6" w:hRule="atLeast"/>
        </w:trPr>
        <w:tc>
          <w:tcPr>
            <w:tcW w:w="513" w:type="pct"/>
            <w:vMerge w:val="continue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292" w:type="pct"/>
            <w:vMerge w:val="continue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  <w:tc>
          <w:tcPr>
            <w:tcW w:w="3913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审核条款：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pacing w:line="360" w:lineRule="exact"/>
              <w:textAlignment w:val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Q </w:t>
            </w:r>
            <w:r>
              <w:rPr>
                <w:rFonts w:hint="eastAsia"/>
                <w:sz w:val="21"/>
                <w:szCs w:val="21"/>
                <w:lang w:eastAsia="zh-CN"/>
              </w:rPr>
              <w:t>：</w:t>
            </w:r>
            <w:r>
              <w:rPr>
                <w:rFonts w:hint="eastAsia"/>
                <w:sz w:val="21"/>
                <w:szCs w:val="21"/>
              </w:rPr>
              <w:t>5.3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</w:rPr>
              <w:t>6.2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</w:rPr>
              <w:t>7.1.5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</w:rPr>
              <w:t>8.6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/>
                <w:sz w:val="21"/>
                <w:szCs w:val="21"/>
              </w:rPr>
              <w:t>8.5.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</w:rPr>
              <w:t>8.7</w:t>
            </w:r>
          </w:p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O：</w:t>
            </w:r>
            <w:r>
              <w:rPr>
                <w:rFonts w:hint="eastAsia"/>
                <w:sz w:val="21"/>
                <w:szCs w:val="21"/>
              </w:rPr>
              <w:t>5.3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</w:rPr>
              <w:t>6.1.2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</w:rPr>
              <w:t>6.2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</w:rPr>
              <w:t>8.1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/>
                <w:sz w:val="21"/>
                <w:szCs w:val="21"/>
              </w:rPr>
              <w:t>8.2</w:t>
            </w:r>
          </w:p>
        </w:tc>
        <w:tc>
          <w:tcPr>
            <w:tcW w:w="280" w:type="pct"/>
            <w:vMerge w:val="continue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513" w:type="pct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组织的岗位、职责权限</w:t>
            </w:r>
          </w:p>
        </w:tc>
        <w:tc>
          <w:tcPr>
            <w:tcW w:w="292" w:type="pct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QO</w: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5.3</w:t>
            </w:r>
          </w:p>
        </w:tc>
        <w:tc>
          <w:tcPr>
            <w:tcW w:w="3913" w:type="pct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主要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负责公司原材料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、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过程、成品检验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检测设备的管理；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贯彻执行公司的方针和管理目标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；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危险源辨识、评价及控制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。</w: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部门负责人对本部门的职责和权限以及工作流程清楚、明确完成本部门的目标指标。</w:t>
            </w:r>
          </w:p>
        </w:tc>
        <w:tc>
          <w:tcPr>
            <w:tcW w:w="280" w:type="pct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513" w:type="pct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目标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eastAsia="zh-CN"/>
              </w:rPr>
              <w:t>和方案</w:t>
            </w:r>
          </w:p>
        </w:tc>
        <w:tc>
          <w:tcPr>
            <w:tcW w:w="292" w:type="pct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QO</w: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6.2</w:t>
            </w:r>
          </w:p>
        </w:tc>
        <w:tc>
          <w:tcPr>
            <w:tcW w:w="3913" w:type="pct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部门的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安全目标：</w:t>
            </w:r>
            <w:r>
              <w:pict>
                <v:shape id="_x0000_i1025" o:spt="75" type="#_x0000_t75" style="height:78pt;width:381.5pt;" filled="f" stroked="f" coordsize="21600,21600">
                  <v:path/>
                  <v:fill on="f" focussize="0,0"/>
                  <v:stroke on="f"/>
                  <v:imagedata r:id="rId7" o:title=""/>
                  <o:lock v:ext="edit" aspectratio="t"/>
                  <w10:wrap type="none"/>
                  <w10:anchorlock/>
                </v:shape>
              </w:pict>
            </w:r>
          </w:p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按照季度进行考核，提供了20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年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季度目标考核表</w:t>
            </w:r>
          </w:p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经查显示目标均已完成。</w:t>
            </w:r>
          </w:p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抽目标——火灾发生率为0管理方案：</w:t>
            </w:r>
          </w:p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pict>
                <v:shape id="_x0000_i1039" o:spt="75" type="#_x0000_t75" style="height:100.5pt;width:379pt;" filled="f" stroked="f" coordsize="21600,21600">
                  <v:path/>
                  <v:fill on="f" focussize="0,0"/>
                  <v:stroke on="f"/>
                  <v:imagedata r:id="rId8" o:title=""/>
                  <o:lock v:ext="edit" aspectratio="t"/>
                  <w10:wrap type="none"/>
                  <w10:anchorlock/>
                </v:shape>
              </w:pic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经查，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正在实施过程中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。</w:t>
            </w:r>
          </w:p>
        </w:tc>
        <w:tc>
          <w:tcPr>
            <w:tcW w:w="280" w:type="pct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513" w:type="pct"/>
            <w:noWrap w:val="0"/>
            <w:vAlign w:val="center"/>
          </w:tcPr>
          <w:p>
            <w:pPr>
              <w:rPr>
                <w:rFonts w:hint="default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危险源</w:t>
            </w:r>
            <w:r>
              <w:rPr>
                <w:rFonts w:hint="eastAsia"/>
                <w:sz w:val="21"/>
                <w:szCs w:val="21"/>
              </w:rPr>
              <w:t>评价和控制措施的确定</w:t>
            </w:r>
          </w:p>
        </w:tc>
        <w:tc>
          <w:tcPr>
            <w:tcW w:w="292" w:type="pct"/>
            <w:noWrap w:val="0"/>
            <w:vAlign w:val="center"/>
          </w:tcPr>
          <w:p>
            <w:pPr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O：</w:t>
            </w:r>
          </w:p>
          <w:p>
            <w:pPr>
              <w:rPr>
                <w:rFonts w:hint="default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6.1.2</w:t>
            </w:r>
          </w:p>
        </w:tc>
        <w:tc>
          <w:tcPr>
            <w:tcW w:w="3913" w:type="pct"/>
            <w:noWrap w:val="0"/>
            <w:vAlign w:val="center"/>
          </w:tcPr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提供了</w:t>
            </w:r>
            <w:r>
              <w:rPr>
                <w:rFonts w:hint="eastAsia"/>
                <w:sz w:val="21"/>
                <w:szCs w:val="21"/>
                <w:lang w:eastAsia="zh-CN"/>
              </w:rPr>
              <w:t>《</w:t>
            </w:r>
            <w:r>
              <w:rPr>
                <w:rFonts w:hint="eastAsia"/>
                <w:sz w:val="21"/>
                <w:szCs w:val="21"/>
              </w:rPr>
              <w:t>职业健康安全危险源识别与评价表</w:t>
            </w:r>
            <w:r>
              <w:rPr>
                <w:rFonts w:hint="eastAsia"/>
                <w:sz w:val="21"/>
                <w:szCs w:val="21"/>
                <w:lang w:eastAsia="zh-CN"/>
              </w:rPr>
              <w:t>》</w:t>
            </w:r>
            <w:r>
              <w:rPr>
                <w:rFonts w:hint="eastAsia"/>
                <w:sz w:val="21"/>
                <w:szCs w:val="21"/>
              </w:rPr>
              <w:t>，涉及本部门的危险源包括：使用电器不当造成触电，搬运货物造成的砸伤，吸烟乱扔烟头导致火灾，上下班途中交通危险，电器短路或使用时间过长散热不良，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试验过程的粉尘吸入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  <w:p>
            <w:pPr>
              <w:spacing w:line="360" w:lineRule="auto"/>
              <w:rPr>
                <w:rFonts w:hint="default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用LEC法对识别的危险源进行评价，本部门不可接受风险火灾、爆炸、触电</w:t>
            </w:r>
            <w:r>
              <w:rPr>
                <w:rFonts w:hint="eastAsia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</w:rPr>
              <w:t>物体打击、机械伤害、设备落物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</w:rPr>
              <w:t>噪声伤害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宋体" w:hAnsi="宋体" w:cs="宋体"/>
                <w:kern w:val="0"/>
                <w:sz w:val="21"/>
                <w:szCs w:val="21"/>
              </w:rPr>
              <w:t>新</w:t>
            </w:r>
            <w:r>
              <w:rPr>
                <w:rFonts w:ascii="宋体" w:hAnsi="宋体" w:cs="宋体"/>
                <w:kern w:val="0"/>
                <w:sz w:val="21"/>
                <w:szCs w:val="21"/>
              </w:rPr>
              <w:t>冠病毒</w:t>
            </w:r>
            <w:r>
              <w:rPr>
                <w:rFonts w:hint="eastAsia"/>
                <w:bCs w:val="0"/>
                <w:spacing w:val="0"/>
                <w:sz w:val="21"/>
                <w:szCs w:val="21"/>
              </w:rPr>
              <w:t>等</w:t>
            </w:r>
            <w:r>
              <w:rPr>
                <w:rFonts w:hint="eastAsia"/>
                <w:sz w:val="21"/>
                <w:szCs w:val="21"/>
              </w:rPr>
              <w:t>，评价基本准确。</w:t>
            </w:r>
          </w:p>
        </w:tc>
        <w:tc>
          <w:tcPr>
            <w:tcW w:w="280" w:type="pct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513" w:type="pct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监视和测量资源</w:t>
            </w:r>
          </w:p>
        </w:tc>
        <w:tc>
          <w:tcPr>
            <w:tcW w:w="292" w:type="pct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Q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7.1.5</w:t>
            </w:r>
          </w:p>
        </w:tc>
        <w:tc>
          <w:tcPr>
            <w:tcW w:w="3913" w:type="pct"/>
            <w:noWrap w:val="0"/>
            <w:vAlign w:val="center"/>
          </w:tcPr>
          <w:p>
            <w:pPr>
              <w:spacing w:line="360" w:lineRule="auto"/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提供了《监视设备台账》内容包括监视设备名称、规格、编号等。检测设备主要有：</w:t>
            </w: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万用表、游标卡尺、电阻回路测试仪、千分尺、钢卷尺等。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抽查计量器具校准/检定情况，</w:t>
            </w:r>
          </w:p>
          <w:p>
            <w:pPr>
              <w:spacing w:line="360" w:lineRule="auto"/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万用表      me28    校准证书：HFGY2006X15-085  校准日期：2020.6.15，校准单位：国防科技工业4311二级计量站</w:t>
            </w:r>
          </w:p>
          <w:p>
            <w:pPr>
              <w:spacing w:line="360" w:lineRule="auto"/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游标卡尺   0-150mm  校准证书：HFGY2006X15-084  校准日期：2020.6.15，校准单位：国防科技工业4311二级计量站</w:t>
            </w:r>
          </w:p>
          <w:p>
            <w:pPr>
              <w:spacing w:line="360" w:lineRule="auto"/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电阻回路测试仪KDH-100 校准证书：HFGY2006X15-083 校准日期：2020.6.15，校准单位：国防科技工业4311二级计量站</w:t>
            </w:r>
          </w:p>
          <w:p>
            <w:pPr>
              <w:spacing w:line="360" w:lineRule="auto"/>
              <w:rPr>
                <w:rFonts w:hint="eastAsia" w:ascii="宋体" w:hAnsi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千分尺    0-25mm校准证书：HFGY2006X15-087      校准日期：2020.6.15，校准单位：国防科技工业4311二级计量站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宋体" w:hAnsi="宋体"/>
                <w:sz w:val="21"/>
                <w:szCs w:val="21"/>
                <w:lang w:val="en-US" w:eastAsia="zh-CN"/>
              </w:rPr>
              <w:t>钢卷尺0-3M    校准证书：HFGY2006X15-086        校准日期：2020.6.15，校准单位：国防科技工业4311二级计量站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目前尚没有计算机软件用于规定要求的监视和测量情况。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经询问，没有自校检测设备，未发生在用的监视和测量设备有异常现象。</w:t>
            </w:r>
          </w:p>
        </w:tc>
        <w:tc>
          <w:tcPr>
            <w:tcW w:w="280" w:type="pct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513" w:type="pct"/>
            <w:noWrap w:val="0"/>
            <w:vAlign w:val="center"/>
          </w:tcPr>
          <w:p>
            <w:pPr>
              <w:rPr>
                <w:rFonts w:hint="default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运行策划和控制</w:t>
            </w:r>
          </w:p>
        </w:tc>
        <w:tc>
          <w:tcPr>
            <w:tcW w:w="292" w:type="pct"/>
            <w:noWrap w:val="0"/>
            <w:vAlign w:val="center"/>
          </w:tcPr>
          <w:p>
            <w:pPr>
              <w:rPr>
                <w:rFonts w:hint="default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O</w:t>
            </w:r>
            <w:r>
              <w:rPr>
                <w:rFonts w:hint="eastAsia"/>
                <w:sz w:val="21"/>
                <w:szCs w:val="21"/>
              </w:rPr>
              <w:t>8.1</w:t>
            </w:r>
          </w:p>
        </w:tc>
        <w:tc>
          <w:tcPr>
            <w:tcW w:w="3913" w:type="pct"/>
            <w:noWrap w:val="0"/>
            <w:vAlign w:val="center"/>
          </w:tcPr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本部门应执行的运行控制文件包括：职业健康安全运行控制程序、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检验规程</w:t>
            </w:r>
            <w:r>
              <w:rPr>
                <w:rFonts w:hint="eastAsia"/>
                <w:sz w:val="21"/>
                <w:szCs w:val="21"/>
              </w:rPr>
              <w:t>等。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查运行控制情况：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办公过程注意节约用电，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质管</w:t>
            </w:r>
            <w:r>
              <w:rPr>
                <w:rFonts w:hint="eastAsia"/>
                <w:sz w:val="21"/>
                <w:szCs w:val="21"/>
              </w:rPr>
              <w:t>部做到人走灯灭，电脑长时间不用时关机，下班前要关闭电源；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办公过程产生的固废按</w:t>
            </w:r>
            <w:r>
              <w:rPr>
                <w:rFonts w:hint="eastAsia"/>
                <w:sz w:val="21"/>
                <w:szCs w:val="21"/>
                <w:lang w:eastAsia="zh-CN"/>
              </w:rPr>
              <w:t>办公室</w:t>
            </w:r>
            <w:r>
              <w:rPr>
                <w:rFonts w:hint="eastAsia"/>
                <w:sz w:val="21"/>
                <w:szCs w:val="21"/>
              </w:rPr>
              <w:t>要求放到指定地点，现场查看无混放现象；办公用品按要求由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综合办</w:t>
            </w:r>
            <w:r>
              <w:rPr>
                <w:rFonts w:hint="eastAsia"/>
                <w:sz w:val="21"/>
                <w:szCs w:val="21"/>
              </w:rPr>
              <w:t xml:space="preserve">负责发放，作好记录； 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工作时间平均每天不超过8小时，公司为员工办理了意外伤害等保险；</w:t>
            </w:r>
          </w:p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外出办公要求遵守道路交通安全法，不违章行驶，驾驶证和车辆定期年审，确保出行安全；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试验的废物分类存放，统一回收。</w:t>
            </w:r>
          </w:p>
          <w:p>
            <w:pPr>
              <w:spacing w:line="360" w:lineRule="auto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试验过程佩戴好手套、面罩等防护用品。</w:t>
            </w:r>
          </w:p>
          <w:p>
            <w:pPr>
              <w:spacing w:line="360" w:lineRule="auto"/>
              <w:rPr>
                <w:rFonts w:hint="default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/>
                <w:sz w:val="21"/>
                <w:szCs w:val="21"/>
              </w:rPr>
              <w:t>现场查看</w:t>
            </w:r>
            <w:r>
              <w:rPr>
                <w:rFonts w:hint="eastAsia"/>
                <w:sz w:val="21"/>
                <w:szCs w:val="21"/>
                <w:lang w:eastAsia="zh-CN"/>
              </w:rPr>
              <w:t>办公室</w:t>
            </w:r>
            <w:r>
              <w:rPr>
                <w:rFonts w:hint="eastAsia"/>
                <w:sz w:val="21"/>
                <w:szCs w:val="21"/>
              </w:rPr>
              <w:t>设备、电器状态良好，配置了灭火器，无火灾、触电隐患，废弃物无混放现象。</w:t>
            </w:r>
          </w:p>
        </w:tc>
        <w:tc>
          <w:tcPr>
            <w:tcW w:w="280" w:type="pct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4" w:hRule="atLeast"/>
        </w:trPr>
        <w:tc>
          <w:tcPr>
            <w:tcW w:w="1526" w:type="dxa"/>
            <w:noWrap w:val="0"/>
            <w:vAlign w:val="center"/>
          </w:tcPr>
          <w:p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标识和可追溯性</w:t>
            </w:r>
          </w:p>
        </w:tc>
        <w:tc>
          <w:tcPr>
            <w:tcW w:w="869" w:type="dxa"/>
            <w:noWrap w:val="0"/>
            <w:vAlign w:val="center"/>
          </w:tcPr>
          <w:p>
            <w:pPr>
              <w:rPr>
                <w:rFonts w:hint="eastAsia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Q</w:t>
            </w:r>
            <w:r>
              <w:rPr>
                <w:rFonts w:hint="eastAsia"/>
                <w:sz w:val="21"/>
                <w:szCs w:val="21"/>
              </w:rPr>
              <w:t>8.5.2</w:t>
            </w:r>
          </w:p>
        </w:tc>
        <w:tc>
          <w:tcPr>
            <w:tcW w:w="11641" w:type="dxa"/>
            <w:noWrap w:val="0"/>
            <w:vAlign w:val="center"/>
          </w:tcPr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查看库房:产品标识：原料采用“物料标识卡”进行标识，卡上注明“名称”“进厂日期”“规格”“数量”等内容。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材料外包装箱上加贴标志，检验合格证.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设置了退货区、不合品区、待检区、合格成品区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状态标识：合格 不合格 原料 半成品 成品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查原料库，库房划分了不同材料区，分区明显，各种物料摆放整齐，标识清晰。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查产品标志、使用说明等相关内容：成品表面印有产品名称、规格型号、生产日期、批号等标识.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追溯性：根据产品标签——生产日期、批号——员工编号——个人，可满足追溯要求。</w:t>
            </w:r>
          </w:p>
        </w:tc>
        <w:tc>
          <w:tcPr>
            <w:tcW w:w="280" w:type="pct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" w:hRule="atLeast"/>
        </w:trPr>
        <w:tc>
          <w:tcPr>
            <w:tcW w:w="513" w:type="pct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产品和服务的放行</w:t>
            </w:r>
          </w:p>
        </w:tc>
        <w:tc>
          <w:tcPr>
            <w:tcW w:w="292" w:type="pct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  <w:t>Q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8.6</w:t>
            </w:r>
          </w:p>
        </w:tc>
        <w:tc>
          <w:tcPr>
            <w:tcW w:w="3913" w:type="pct"/>
            <w:noWrap w:val="0"/>
            <w:vAlign w:val="center"/>
          </w:tcPr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经查，编制了《产品监视和测量控制程序》、《采购产品检验规程》、《工艺规程》、《成品检验规程》规定了原材料、半成品、成品的具体检验方式。检验主要依据顾客要求和行业标准等。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产品：</w:t>
            </w:r>
            <w:r>
              <w:rPr>
                <w:sz w:val="20"/>
              </w:rPr>
              <w:t>石墨复合接地体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采购的主要物质/服务：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膨胀石墨、石墨线、膨润土和石墨布等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目前外包方服务态度良好，至今未出现货物短缺或客户投诉情况。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1）原材料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查“采购产品检验记录”，包括产品名称、规格型号、供方、进厂时间、采购数量、抽样数量、检验项目、检验标准、检验结论、检验员、检验日期等内容。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--抽取：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产品名称：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水泥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 规格：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425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进货日期：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2021.3.15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供货单位：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日照市中兰商贸有限公司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                  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进货数量：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1700吨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检验项目：外观、规格、材质单、数量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随货资料：质量保证书，试验项目：抗拉强度、延伸率、材质。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检验员：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田宝刚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日期：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2021.3.15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 检验结论：合格。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--抽取：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产品名称：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编织布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规格：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200*5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    进货日期：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2021.3.10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供货单位：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河间密封材料有限公司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             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进货数量：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600米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 </w:t>
            </w:r>
          </w:p>
          <w:p>
            <w:pPr>
              <w:spacing w:line="360" w:lineRule="auto"/>
              <w:ind w:left="1050" w:hanging="1050" w:hangingChars="500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检验项目：外观、尺寸（圆角半径、绝缘厚度、窄边尺寸、宽边尺寸）、规格、材质单、数量。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检验员：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 xml:space="preserve">田宝刚    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日期：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2021.3.10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 检验结论：合格。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--抽取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产品名称：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石墨线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规格：6克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 数量：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1500Kg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 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检验项目：外观：平整、均匀度、  数量等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供货单位：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南宫市泓科密封材料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有限公司。进货日期</w:t>
            </w:r>
            <w:r>
              <w:rPr>
                <w:rFonts w:hint="default" w:ascii="Times New Roman" w:hAnsi="Times New Roman" w:eastAsia="宋体" w:cs="Times New Roman"/>
                <w:color w:val="auto"/>
                <w:sz w:val="21"/>
                <w:szCs w:val="21"/>
              </w:rPr>
              <w:t>：</w:t>
            </w:r>
            <w:r>
              <w:rPr>
                <w:rFonts w:hint="eastAsia" w:ascii="Times New Roman" w:hAnsi="Times New Roman" w:eastAsia="宋体" w:cs="Times New Roman"/>
                <w:color w:val="auto"/>
                <w:sz w:val="21"/>
                <w:szCs w:val="21"/>
                <w:lang w:val="en-US" w:eastAsia="zh-CN"/>
              </w:rPr>
              <w:t>2021.3.18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检验员：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田宝刚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日期：20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21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.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3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.1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8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  检验结论合格。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另查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焊粉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线材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膨润土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等部件和材料的验证记录，包括供方、进货时间、抽样量、检验指标、合格证明等内容，记录填写清晰完整，符合要求。</w:t>
            </w:r>
          </w:p>
          <w:p>
            <w:pP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pict>
                <v:shape id="_x0000_s1034" o:spid="_x0000_s1034" o:spt="75" alt="扫描全能王 2021-04-27 10.10.08_2" type="#_x0000_t75" style="position:absolute;left:0pt;margin-left:153pt;margin-top:6.55pt;height:183.5pt;width:129.75pt;z-index:251659264;mso-width-relative:page;mso-height-relative:page;" filled="f" o:preferrelative="t" stroked="f" coordsize="21600,21600">
                  <v:path/>
                  <v:fill on="f" focussize="0,0"/>
                  <v:stroke on="f"/>
                  <v:imagedata r:id="rId9" o:title="扫描全能王 2021-04-27 10.10.08_2"/>
                  <o:lock v:ext="edit" aspectratio="t"/>
                </v:shape>
              </w:pic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pict>
                <v:shape id="_x0000_i1033" o:spt="75" alt="82362c7174059aa8b6561547a8eaf64" type="#_x0000_t75" style="height:185.05pt;width:138.75pt;" filled="f" o:preferrelative="t" stroked="f" coordsize="21600,21600">
                  <v:path/>
                  <v:fill on="f" focussize="0,0"/>
                  <v:stroke on="f"/>
                  <v:imagedata r:id="rId10" o:title="82362c7174059aa8b6561547a8eaf64"/>
                  <o:lock v:ext="edit" aspectratio="t"/>
                  <w10:wrap type="none"/>
                  <w10:anchorlock/>
                </v:shape>
              </w:pic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无在供方现场进行检验的情况。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2）生产过程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检验，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抽查2020.12.19、2020.12.25、2021.3.21接地模块过程检验记录单，对尺寸、直径、电阻率、重量进行了检验，检验人：田宝刚，结果判定为合格。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3）成品检验，执行标准：按合同要求和相关标准要求编制的产品检验规程进行出厂检验。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——查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空石墨线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产品检验情况：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抽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2021.3.19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成品检验记录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，规格：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直径20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，自检项目包括：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外观质量、重量、降电阻率等项目，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检验员：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田宝刚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， 结论：合格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抽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2021.4.15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石墨线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检验报告，规格：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直径18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，自检项目包括：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外观质量、重量、降电阻率等项目，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检验员：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田宝刚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， 结论：合格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抽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2021.3.16接地模块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检验报告，规格：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50*400*60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，自检项目包括：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外观质量、重量、降电阻率等项目，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检验员：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田宝刚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， 结论：合格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另提供其它型号产品检验报告，详细内容不再累述。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现场观察产品状态标识明确。</w:t>
            </w:r>
          </w:p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提供二份，检验日期：2019.7.5、2019.5.8，检测单位：西安高压电气研究院有限责任公司，结论：合格，编号190179  西安高压电器研究所有限责任公司出具的产品名称为QDHLDDQ-S-L25石墨基柔性复合接地体《检验报告》，</w:t>
            </w:r>
          </w:p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pict>
                <v:shape id="_x0000_s1038" o:spid="_x0000_s1038" o:spt="75" alt="扫描全能王 2021-04-27 10.10.08_11" type="#_x0000_t75" style="position:absolute;left:0pt;margin-left:400.75pt;margin-top:3.9pt;height:155.05pt;width:104.35pt;z-index:251663360;mso-width-relative:page;mso-height-relative:page;" filled="f" o:preferrelative="t" stroked="f" coordsize="21600,21600">
                  <v:path/>
                  <v:fill on="f" focussize="0,0"/>
                  <v:stroke on="f"/>
                  <v:imagedata r:id="rId11" o:title="扫描全能王 2021-04-27 10.10.08_11"/>
                  <o:lock v:ext="edit" aspectratio="t"/>
                </v:shape>
              </w:pic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pict>
                <v:shape id="_x0000_s1037" o:spid="_x0000_s1037" o:spt="75" alt="扫描全能王 2021-04-27 10.10.08_9" type="#_x0000_t75" style="position:absolute;left:0pt;margin-left:285.5pt;margin-top:8pt;height:150.05pt;width:107pt;z-index:251662336;mso-width-relative:page;mso-height-relative:page;" filled="f" o:preferrelative="t" stroked="f" coordsize="21600,21600">
                  <v:path/>
                  <v:fill on="f" focussize="0,0"/>
                  <v:stroke on="f"/>
                  <v:imagedata r:id="rId12" o:title="扫描全能王 2021-04-27 10.10.08_9"/>
                  <o:lock v:ext="edit" aspectratio="t"/>
                </v:shape>
              </w:pic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pict>
                <v:shape id="_x0000_s1036" o:spid="_x0000_s1036" o:spt="75" alt="扫描全能王 2021-04-27 10.10.08_8" type="#_x0000_t75" style="position:absolute;left:0pt;margin-left:134pt;margin-top:5.9pt;height:151.45pt;width:101.95pt;z-index:251661312;mso-width-relative:page;mso-height-relative:page;" filled="f" o:preferrelative="t" stroked="f" coordsize="21600,21600">
                  <v:path/>
                  <v:fill on="f" focussize="0,0"/>
                  <v:stroke on="f"/>
                  <v:imagedata r:id="rId13" o:title="扫描全能王 2021-04-27 10.10.08_8"/>
                  <o:lock v:ext="edit" aspectratio="t"/>
                </v:shape>
              </w:pic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pict>
                <v:shape id="_x0000_s1035" o:spid="_x0000_s1035" o:spt="75" alt="扫描全能王 2021-04-27 10.10.08_5" type="#_x0000_t75" style="position:absolute;left:0pt;margin-left:11.45pt;margin-top:3.05pt;height:155.1pt;width:109.4pt;z-index:251660288;mso-width-relative:page;mso-height-relative:page;" filled="f" o:preferrelative="t" stroked="f" coordsize="21600,21600">
                  <v:path/>
                  <v:fill on="f" focussize="0,0"/>
                  <v:stroke on="f"/>
                  <v:imagedata r:id="rId14" o:title="扫描全能王 2021-04-27 10.10.08_5"/>
                  <o:lock v:ext="edit" aspectratio="t"/>
                </v:shape>
              </w:pict>
            </w:r>
          </w:p>
          <w:p>
            <w:pPr>
              <w:pStyle w:val="2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>
            <w:pPr>
              <w:pStyle w:val="2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>
            <w:pPr>
              <w:pStyle w:val="2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pStyle w:val="2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>
            <w:pPr>
              <w:pStyle w:val="2"/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</w:p>
          <w:p>
            <w:pPr>
              <w:pStyle w:val="2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pStyle w:val="2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pStyle w:val="2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pStyle w:val="2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pStyle w:val="2"/>
              <w:jc w:val="both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  <w:bookmarkStart w:id="0" w:name="_GoBack"/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现场审核观察询问，检验员回答与操作皆符合规定要求。</w:t>
            </w:r>
          </w:p>
          <w:p>
            <w:pPr>
              <w:spacing w:line="360" w:lineRule="auto"/>
              <w:rPr>
                <w:rFonts w:hint="default" w:ascii="Times New Roman" w:hAnsi="Times New Roman" w:eastAsia="宋体" w:cs="Times New Roman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暂无授权人员批准或顾客批准放行产品和交付服务的情况。</w:t>
            </w:r>
            <w:bookmarkEnd w:id="0"/>
          </w:p>
        </w:tc>
        <w:tc>
          <w:tcPr>
            <w:tcW w:w="280" w:type="pct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513" w:type="pct"/>
            <w:noWrap w:val="0"/>
            <w:vAlign w:val="center"/>
          </w:tcPr>
          <w:p>
            <w:pPr>
              <w:ind w:left="105" w:hanging="105" w:hangingChars="50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应急准备和响应</w:t>
            </w:r>
          </w:p>
        </w:tc>
        <w:tc>
          <w:tcPr>
            <w:tcW w:w="292" w:type="pct"/>
            <w:noWrap w:val="0"/>
            <w:vAlign w:val="center"/>
          </w:tcPr>
          <w:p>
            <w:pPr>
              <w:ind w:left="105" w:hanging="105" w:hangingChars="50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  <w:t>O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</w:rPr>
              <w:t>8.2</w:t>
            </w:r>
          </w:p>
        </w:tc>
        <w:tc>
          <w:tcPr>
            <w:tcW w:w="3913" w:type="pct"/>
            <w:noWrap w:val="0"/>
            <w:vAlign w:val="center"/>
          </w:tcPr>
          <w:p>
            <w:pPr>
              <w:spacing w:line="360" w:lineRule="auto"/>
              <w:ind w:left="105" w:hanging="105" w:hangingChars="50"/>
              <w:rPr>
                <w:rFonts w:hint="default" w:ascii="Times New Roman" w:hAnsi="Times New Roman" w:eastAsia="宋体" w:cs="Times New Roman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执行《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zh-CN"/>
              </w:rPr>
              <w:t>应急准备和响应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控制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zh-CN"/>
              </w:rPr>
              <w:t>程序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》。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质检部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zh-CN"/>
              </w:rPr>
              <w:t>20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20</w:t>
            </w:r>
            <w:r>
              <w:rPr>
                <w:rFonts w:hint="default" w:ascii="Times New Roman" w:hAnsi="Times New Roman" w:eastAsia="宋体" w:cs="Times New Roman"/>
                <w:sz w:val="21"/>
                <w:szCs w:val="21"/>
                <w:lang w:val="zh-CN"/>
              </w:rPr>
              <w:t>年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11月16日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参加了公司组织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机械伤害、火灾和触电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演练，相关记录详见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  <w:lang w:val="en-US" w:eastAsia="zh-CN"/>
              </w:rPr>
              <w:t>综合办</w:t>
            </w:r>
            <w:r>
              <w:rPr>
                <w:rFonts w:hint="eastAsia" w:ascii="Times New Roman" w:hAnsi="Times New Roman" w:eastAsia="宋体" w:cs="Times New Roman"/>
                <w:sz w:val="21"/>
                <w:szCs w:val="21"/>
              </w:rPr>
              <w:t>记录。</w:t>
            </w:r>
          </w:p>
        </w:tc>
        <w:tc>
          <w:tcPr>
            <w:tcW w:w="280" w:type="pct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1526" w:type="dxa"/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不合格输出的控制</w:t>
            </w:r>
          </w:p>
        </w:tc>
        <w:tc>
          <w:tcPr>
            <w:tcW w:w="869" w:type="dxa"/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O</w:t>
            </w:r>
            <w:r>
              <w:rPr>
                <w:rFonts w:hint="eastAsia"/>
                <w:sz w:val="21"/>
                <w:szCs w:val="21"/>
              </w:rPr>
              <w:t xml:space="preserve">8.7 </w:t>
            </w:r>
          </w:p>
        </w:tc>
        <w:tc>
          <w:tcPr>
            <w:tcW w:w="11641" w:type="dxa"/>
            <w:noWrap w:val="0"/>
            <w:vAlign w:val="center"/>
          </w:tcPr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编制不合格品控制程序，明确不合格品发生时的处置权限。</w:t>
            </w:r>
          </w:p>
          <w:p>
            <w:pPr>
              <w:spacing w:line="360" w:lineRule="auto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在采购时发现不合格退货处理，生产过程和出厂检验发现的不合格在“不良品统计”中记录结果，</w:t>
            </w:r>
            <w:r>
              <w:rPr>
                <w:sz w:val="21"/>
                <w:szCs w:val="21"/>
              </w:rPr>
              <w:t>变压器、电抗器、冷却器、换热器主产品主控项目不合格</w:t>
            </w:r>
            <w:r>
              <w:rPr>
                <w:rFonts w:hint="eastAsia"/>
                <w:sz w:val="21"/>
                <w:szCs w:val="21"/>
              </w:rPr>
              <w:t>直接报废，外观等非主控项目返修，机加工类，返修检验。</w:t>
            </w:r>
          </w:p>
          <w:p>
            <w:pPr>
              <w:spacing w:line="360" w:lineRule="auto"/>
              <w:rPr>
                <w:rFonts w:hint="eastAsia" w:ascii="Times New Roman" w:hAnsi="Times New Roman" w:eastAsia="宋体" w:cs="Times New Roman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对不合格品统计；制定纠正预防措施。</w:t>
            </w:r>
          </w:p>
        </w:tc>
        <w:tc>
          <w:tcPr>
            <w:tcW w:w="280" w:type="pct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sz w:val="21"/>
                <w:szCs w:val="21"/>
              </w:rPr>
            </w:pPr>
          </w:p>
        </w:tc>
      </w:tr>
    </w:tbl>
    <w:p>
      <w:pPr>
        <w:jc w:val="left"/>
        <w:rPr>
          <w:rFonts w:hint="eastAsia" w:ascii="宋体" w:hAnsi="宋体"/>
          <w:sz w:val="21"/>
        </w:rPr>
      </w:pPr>
    </w:p>
    <w:p>
      <w:pPr>
        <w:jc w:val="left"/>
        <w:rPr>
          <w:rFonts w:hint="eastAsia" w:ascii="宋体" w:hAnsi="宋体"/>
          <w:sz w:val="21"/>
        </w:rPr>
      </w:pPr>
    </w:p>
    <w:p>
      <w:pPr>
        <w:pStyle w:val="4"/>
        <w:rPr>
          <w:rFonts w:hint="eastAsia" w:ascii="宋体" w:hAnsi="宋体"/>
          <w:sz w:val="21"/>
        </w:rPr>
      </w:pPr>
      <w:r>
        <w:rPr>
          <w:rFonts w:hint="eastAsia"/>
        </w:rPr>
        <w:t>说明：不符合标注N</w:t>
      </w:r>
    </w:p>
    <w:sectPr>
      <w:headerReference r:id="rId3" w:type="default"/>
      <w:footerReference r:id="rId4" w:type="default"/>
      <w:footerReference r:id="rId5" w:type="even"/>
      <w:pgSz w:w="16838" w:h="11906" w:orient="landscape"/>
      <w:pgMar w:top="1080" w:right="1440" w:bottom="1080" w:left="1440" w:header="851" w:footer="992" w:gutter="0"/>
      <w:cols w:space="720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隶书">
    <w:altName w:val="微软雅黑"/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rFonts w:hint="eastAsia"/>
      </w:rPr>
      <w:t>第</w:t>
    </w: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  <w:lang/>
      </w:rPr>
      <w:t>31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</w:t>
    </w:r>
    <w:r>
      <w:rPr>
        <w:rFonts w:hint="eastAsia"/>
        <w:lang w:val="zh-CN"/>
      </w:rPr>
      <w:t>页  共</w:t>
    </w: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  <w:lang/>
      </w:rPr>
      <w:t>31</w:t>
    </w:r>
    <w:r>
      <w:rPr>
        <w:b/>
        <w:sz w:val="24"/>
        <w:szCs w:val="24"/>
      </w:rPr>
      <w:fldChar w:fldCharType="end"/>
    </w:r>
    <w:r>
      <w:rPr>
        <w:rFonts w:hint="eastAsia"/>
      </w:rPr>
      <w:t>页</w:t>
    </w:r>
  </w:p>
  <w:p>
    <w:pPr>
      <w:pStyle w:val="4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pict>
        <v:shape id="_x0000_s2049" o:spid="_x0000_s2049" o:spt="202" type="#_x0000_t202" style="position:absolute;left:0pt;margin-top:0pt;height:10.5pt;width:2.8pt;mso-position-horizontal:center;mso-position-horizontal-relative:margin;mso-wrap-distance-bottom:0pt;mso-wrap-distance-left:0pt;mso-wrap-distance-right:0pt;mso-wrap-distance-top:0pt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/>
          <v:textbox inset="0mm,0mm,0mm,0mm" style="mso-fit-shape-to-text:t;">
            <w:txbxContent>
              <w:p>
                <w:pPr>
                  <w:pStyle w:val="4"/>
                  <w:rPr>
                    <w:rStyle w:val="8"/>
                  </w:rPr>
                </w:pPr>
                <w:r>
                  <w:fldChar w:fldCharType="begin"/>
                </w:r>
                <w:r>
                  <w:rPr>
                    <w:rStyle w:val="8"/>
                  </w:rPr>
                  <w:instrText xml:space="preserve">PAGE  </w:instrText>
                </w:r>
                <w:r>
                  <w:fldChar w:fldCharType="separate"/>
                </w:r>
                <w:r>
                  <w:rPr>
                    <w:rStyle w:val="8"/>
                  </w:rPr>
                  <w:t xml:space="preserve"> </w:t>
                </w:r>
                <w:r>
                  <w:fldChar w:fldCharType="end"/>
                </w:r>
              </w:p>
            </w:txbxContent>
          </v:textbox>
          <w10:wrap type="square"/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pBdr>
        <w:bottom w:val="none" w:color="auto" w:sz="0" w:space="0"/>
      </w:pBdr>
      <w:spacing w:line="320" w:lineRule="exact"/>
      <w:ind w:left="-98" w:leftChars="-41" w:firstLine="1285" w:firstLineChars="400"/>
      <w:jc w:val="left"/>
      <w:rPr>
        <w:rFonts w:hint="eastAsia"/>
      </w:rPr>
    </w:pPr>
    <w:r>
      <w:rPr>
        <w:b/>
        <w:sz w:val="32"/>
        <w:lang/>
      </w:rPr>
      <w:pict>
        <v:shape id="_x0000_s2055" o:spid="_x0000_s2055" o:spt="202" type="#_x0000_t202" style="position:absolute;left:0pt;margin-left:634.85pt;margin-top:-2.1pt;height:37.2pt;width:79.5pt;z-index:251660288;mso-width-relative:page;mso-height-relative:page;" fillcolor="#FFFFFF" filled="t" stroked="t" coordsize="21600,21600">
          <v:path/>
          <v:fill on="t" focussize="0,0"/>
          <v:stroke color="#FFFFFF"/>
          <v:imagedata o:title=""/>
          <o:lock v:ext="edit"/>
          <v:textbox>
            <w:txbxContent>
              <w:p>
                <w:pPr>
                  <w:jc w:val="right"/>
                  <w:rPr>
                    <w:rFonts w:hint="eastAsia" w:ascii="黑体" w:hAnsi="黑体" w:eastAsia="黑体"/>
                    <w:sz w:val="18"/>
                    <w:szCs w:val="18"/>
                  </w:rPr>
                </w:pPr>
              </w:p>
            </w:txbxContent>
          </v:textbox>
        </v:shape>
      </w:pict>
    </w:r>
    <w:r>
      <w:rPr>
        <w:b/>
        <w:sz w:val="32"/>
      </w:rPr>
      <w:tab/>
    </w:r>
    <w:r>
      <w:rPr>
        <w:sz w:val="21"/>
        <w:szCs w:val="21"/>
      </w:rPr>
      <w:pict>
        <v:shape id="图片 24" o:spid="_x0000_s2056" o:spt="75" type="#_x0000_t75" style="position:absolute;left:0pt;margin-left:-0.05pt;margin-top:14.4pt;height:34.1pt;width:32.3pt;mso-wrap-distance-left:9pt;mso-wrap-distance-right:9pt;z-index:-251655168;mso-width-relative:page;mso-height-relative:page;" filled="f" o:preferrelative="t" stroked="f" coordsize="21600,21600" wrapcoords="21592 -2 0 0 0 21600 21592 21602 8 21602 21600 21600 21600 0 8 -2 21592 -2">
          <v:path/>
          <v:fill on="f" focussize="0,0"/>
          <v:stroke on="f"/>
          <v:imagedata r:id="rId1" o:title=""/>
          <o:lock v:ext="edit" aspectratio="t"/>
          <w10:wrap type="tight"/>
        </v:shape>
      </w:pict>
    </w:r>
    <w:r>
      <w:tab/>
    </w:r>
    <w:r>
      <w:rPr>
        <w:rFonts w:hint="eastAsia"/>
      </w:rPr>
      <w:t xml:space="preserve">   </w:t>
    </w:r>
  </w:p>
  <w:p>
    <w:pPr>
      <w:pStyle w:val="2"/>
      <w:pBdr>
        <w:bottom w:val="none" w:color="auto" w:sz="0" w:space="0"/>
      </w:pBdr>
      <w:spacing w:line="320" w:lineRule="exact"/>
      <w:jc w:val="left"/>
      <w:rPr>
        <w:rStyle w:val="13"/>
        <w:rFonts w:hint="default"/>
        <w:szCs w:val="21"/>
      </w:rPr>
    </w:pPr>
    <w:r>
      <w:rPr>
        <w:sz w:val="21"/>
        <w:szCs w:val="21"/>
      </w:rPr>
      <w:pict>
        <v:shape id="文本框 6" o:spid="_x0000_s2057" o:spt="202" type="#_x0000_t202" style="position:absolute;left:0pt;margin-left:290.7pt;margin-top:10.45pt;height:22.05pt;width:189.75pt;z-index:251662336;mso-width-relative:page;mso-height-relative:page;" fillcolor="#FFFFFF" filled="t" stroked="f" coordsize="21600,21600">
          <v:path/>
          <v:fill on="t" focussize="0,0"/>
          <v:stroke on="f"/>
          <v:imagedata o:title=""/>
          <o:lock v:ext="edit" aspectratio="f"/>
          <v:textbox>
            <w:txbxContent>
              <w:p>
                <w:pPr>
                  <w:ind w:firstLine="720" w:firstLineChars="400"/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ISC-B-I-31 管理体系检查表（03版）</w:t>
                </w:r>
              </w:p>
            </w:txbxContent>
          </v:textbox>
        </v:shape>
      </w:pict>
    </w:r>
    <w:r>
      <w:rPr>
        <w:rStyle w:val="13"/>
        <w:rFonts w:hint="default"/>
        <w:szCs w:val="21"/>
      </w:rPr>
      <w:t xml:space="preserve">       北京国标联合认证有限公司</w:t>
    </w:r>
  </w:p>
  <w:p>
    <w:pPr>
      <w:pStyle w:val="2"/>
      <w:pBdr>
        <w:bottom w:val="none" w:color="auto" w:sz="0" w:space="1"/>
      </w:pBdr>
      <w:spacing w:line="320" w:lineRule="exact"/>
      <w:jc w:val="left"/>
    </w:pPr>
    <w:r>
      <w:rPr>
        <w:rStyle w:val="13"/>
        <w:rFonts w:hint="default"/>
        <w:szCs w:val="21"/>
      </w:rPr>
      <w:t xml:space="preserve">       </w:t>
    </w:r>
    <w:r>
      <w:rPr>
        <w:rStyle w:val="13"/>
        <w:rFonts w:hint="default"/>
        <w:w w:val="80"/>
        <w:szCs w:val="21"/>
      </w:rPr>
      <w:t xml:space="preserve">Beijing International Standard united Certification Co.,Ltd. </w:t>
    </w:r>
    <w:r>
      <w:rPr>
        <w:rStyle w:val="13"/>
        <w:rFonts w:hint="default"/>
        <w:w w:val="90"/>
        <w:szCs w:val="21"/>
      </w:rPr>
      <w:t xml:space="preserve"> </w:t>
    </w:r>
    <w:r>
      <w:rPr>
        <w:rStyle w:val="13"/>
        <w:rFonts w:hint="default"/>
        <w:w w:val="90"/>
      </w:rPr>
      <w:t xml:space="preserve">                    </w:t>
    </w:r>
    <w:r>
      <w:rPr>
        <w:b/>
        <w:sz w:val="32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20"/>
  <w:drawingGridVerticalSpacing w:val="163"/>
  <w:displayHorizontalDrawingGridEvery w:val="0"/>
  <w:displayVerticalDrawingGridEvery w:val="2"/>
  <w:characterSpacingControl w:val="compressPunctuation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BreakWrappedTab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93D61"/>
    <w:rsid w:val="00002C43"/>
    <w:rsid w:val="0001134F"/>
    <w:rsid w:val="00014F15"/>
    <w:rsid w:val="00016D02"/>
    <w:rsid w:val="00020026"/>
    <w:rsid w:val="00040857"/>
    <w:rsid w:val="000530B4"/>
    <w:rsid w:val="000574DB"/>
    <w:rsid w:val="00060F9A"/>
    <w:rsid w:val="00062730"/>
    <w:rsid w:val="00097A5F"/>
    <w:rsid w:val="000A2AEE"/>
    <w:rsid w:val="000A5950"/>
    <w:rsid w:val="000A628B"/>
    <w:rsid w:val="000B6272"/>
    <w:rsid w:val="000C2B69"/>
    <w:rsid w:val="000C72D5"/>
    <w:rsid w:val="000E1F8C"/>
    <w:rsid w:val="000E38F3"/>
    <w:rsid w:val="000E75DA"/>
    <w:rsid w:val="000F4581"/>
    <w:rsid w:val="000F721F"/>
    <w:rsid w:val="00104382"/>
    <w:rsid w:val="0010603F"/>
    <w:rsid w:val="001066D6"/>
    <w:rsid w:val="00123826"/>
    <w:rsid w:val="00137B76"/>
    <w:rsid w:val="00153B2C"/>
    <w:rsid w:val="00171EBE"/>
    <w:rsid w:val="00181694"/>
    <w:rsid w:val="001911DF"/>
    <w:rsid w:val="001969B6"/>
    <w:rsid w:val="001A2E81"/>
    <w:rsid w:val="001A338C"/>
    <w:rsid w:val="001A3620"/>
    <w:rsid w:val="001B0069"/>
    <w:rsid w:val="001B34CF"/>
    <w:rsid w:val="001C15A2"/>
    <w:rsid w:val="001C17E2"/>
    <w:rsid w:val="001D208B"/>
    <w:rsid w:val="001D554E"/>
    <w:rsid w:val="001D6969"/>
    <w:rsid w:val="001E2B58"/>
    <w:rsid w:val="00201DEE"/>
    <w:rsid w:val="00204F90"/>
    <w:rsid w:val="002059DE"/>
    <w:rsid w:val="00207DEA"/>
    <w:rsid w:val="002102B1"/>
    <w:rsid w:val="00230636"/>
    <w:rsid w:val="00240AD9"/>
    <w:rsid w:val="00241DBF"/>
    <w:rsid w:val="00247F09"/>
    <w:rsid w:val="002840FF"/>
    <w:rsid w:val="00287286"/>
    <w:rsid w:val="0028734F"/>
    <w:rsid w:val="002957D3"/>
    <w:rsid w:val="00297882"/>
    <w:rsid w:val="002B5C7E"/>
    <w:rsid w:val="002E237E"/>
    <w:rsid w:val="002F4197"/>
    <w:rsid w:val="00300F19"/>
    <w:rsid w:val="003140A3"/>
    <w:rsid w:val="00316AC0"/>
    <w:rsid w:val="00327D7D"/>
    <w:rsid w:val="0033543D"/>
    <w:rsid w:val="00355607"/>
    <w:rsid w:val="0036044B"/>
    <w:rsid w:val="00361066"/>
    <w:rsid w:val="00363A8F"/>
    <w:rsid w:val="0037354C"/>
    <w:rsid w:val="00384358"/>
    <w:rsid w:val="00390DAD"/>
    <w:rsid w:val="0039405C"/>
    <w:rsid w:val="00396181"/>
    <w:rsid w:val="003A2E12"/>
    <w:rsid w:val="003A55B2"/>
    <w:rsid w:val="003C51CD"/>
    <w:rsid w:val="003C6C0A"/>
    <w:rsid w:val="004041A8"/>
    <w:rsid w:val="0041420E"/>
    <w:rsid w:val="00421453"/>
    <w:rsid w:val="00424B1D"/>
    <w:rsid w:val="004408BF"/>
    <w:rsid w:val="00447264"/>
    <w:rsid w:val="00453E58"/>
    <w:rsid w:val="00453F5E"/>
    <w:rsid w:val="00465236"/>
    <w:rsid w:val="0046595E"/>
    <w:rsid w:val="004660B8"/>
    <w:rsid w:val="004823BE"/>
    <w:rsid w:val="00483D53"/>
    <w:rsid w:val="004862A3"/>
    <w:rsid w:val="00492CF2"/>
    <w:rsid w:val="00492F64"/>
    <w:rsid w:val="004943C0"/>
    <w:rsid w:val="004A3D25"/>
    <w:rsid w:val="004A5553"/>
    <w:rsid w:val="004C17FE"/>
    <w:rsid w:val="004C45EC"/>
    <w:rsid w:val="00503BDD"/>
    <w:rsid w:val="00510D1E"/>
    <w:rsid w:val="005260C0"/>
    <w:rsid w:val="00534861"/>
    <w:rsid w:val="005504B6"/>
    <w:rsid w:val="00583455"/>
    <w:rsid w:val="0058386C"/>
    <w:rsid w:val="00583F87"/>
    <w:rsid w:val="00592FD4"/>
    <w:rsid w:val="0059355F"/>
    <w:rsid w:val="005A0F5A"/>
    <w:rsid w:val="005A0FA4"/>
    <w:rsid w:val="005A7A30"/>
    <w:rsid w:val="005B3B95"/>
    <w:rsid w:val="005C39F7"/>
    <w:rsid w:val="005C45C0"/>
    <w:rsid w:val="005E1A99"/>
    <w:rsid w:val="005E351A"/>
    <w:rsid w:val="005E60B1"/>
    <w:rsid w:val="005E62D5"/>
    <w:rsid w:val="005F7CA1"/>
    <w:rsid w:val="00600E0D"/>
    <w:rsid w:val="0060228A"/>
    <w:rsid w:val="00611BE6"/>
    <w:rsid w:val="00616DB3"/>
    <w:rsid w:val="00627F90"/>
    <w:rsid w:val="00640966"/>
    <w:rsid w:val="00650250"/>
    <w:rsid w:val="006524B8"/>
    <w:rsid w:val="006567BF"/>
    <w:rsid w:val="006621E1"/>
    <w:rsid w:val="00664B4D"/>
    <w:rsid w:val="00667175"/>
    <w:rsid w:val="00674F34"/>
    <w:rsid w:val="0068368B"/>
    <w:rsid w:val="00683E7D"/>
    <w:rsid w:val="0069152A"/>
    <w:rsid w:val="006A263A"/>
    <w:rsid w:val="006A56E8"/>
    <w:rsid w:val="006B7091"/>
    <w:rsid w:val="006C6CF3"/>
    <w:rsid w:val="006D3399"/>
    <w:rsid w:val="006D7F60"/>
    <w:rsid w:val="006E1253"/>
    <w:rsid w:val="00715EC4"/>
    <w:rsid w:val="007207B3"/>
    <w:rsid w:val="0072245F"/>
    <w:rsid w:val="0075579C"/>
    <w:rsid w:val="00761AE6"/>
    <w:rsid w:val="00765563"/>
    <w:rsid w:val="007710E6"/>
    <w:rsid w:val="00771F9F"/>
    <w:rsid w:val="00776B57"/>
    <w:rsid w:val="00786FC9"/>
    <w:rsid w:val="00791519"/>
    <w:rsid w:val="0079367F"/>
    <w:rsid w:val="007A2F7A"/>
    <w:rsid w:val="007A6EBF"/>
    <w:rsid w:val="007B3B7E"/>
    <w:rsid w:val="007D55B1"/>
    <w:rsid w:val="007D571E"/>
    <w:rsid w:val="007F19FD"/>
    <w:rsid w:val="0080627B"/>
    <w:rsid w:val="00816948"/>
    <w:rsid w:val="00826B77"/>
    <w:rsid w:val="00834C4A"/>
    <w:rsid w:val="008464D0"/>
    <w:rsid w:val="0084650D"/>
    <w:rsid w:val="00863C45"/>
    <w:rsid w:val="008817CE"/>
    <w:rsid w:val="00884DA6"/>
    <w:rsid w:val="0088566F"/>
    <w:rsid w:val="0089253E"/>
    <w:rsid w:val="00893C77"/>
    <w:rsid w:val="00893C82"/>
    <w:rsid w:val="008B0281"/>
    <w:rsid w:val="008B21E9"/>
    <w:rsid w:val="008B7B32"/>
    <w:rsid w:val="008C3F33"/>
    <w:rsid w:val="008E49D3"/>
    <w:rsid w:val="008F08B7"/>
    <w:rsid w:val="008F2B51"/>
    <w:rsid w:val="00901B93"/>
    <w:rsid w:val="009117B4"/>
    <w:rsid w:val="009222E8"/>
    <w:rsid w:val="0094421E"/>
    <w:rsid w:val="00955F36"/>
    <w:rsid w:val="00963FAF"/>
    <w:rsid w:val="0096633D"/>
    <w:rsid w:val="00982AA6"/>
    <w:rsid w:val="00984CC4"/>
    <w:rsid w:val="009A69B8"/>
    <w:rsid w:val="009B0F77"/>
    <w:rsid w:val="009B2524"/>
    <w:rsid w:val="009B3830"/>
    <w:rsid w:val="009D56D5"/>
    <w:rsid w:val="009E5BC4"/>
    <w:rsid w:val="009F6036"/>
    <w:rsid w:val="00A00F70"/>
    <w:rsid w:val="00A107A3"/>
    <w:rsid w:val="00A11893"/>
    <w:rsid w:val="00A13161"/>
    <w:rsid w:val="00A16105"/>
    <w:rsid w:val="00A16385"/>
    <w:rsid w:val="00A27630"/>
    <w:rsid w:val="00A33485"/>
    <w:rsid w:val="00A357A7"/>
    <w:rsid w:val="00A45C01"/>
    <w:rsid w:val="00A6024E"/>
    <w:rsid w:val="00A61EDC"/>
    <w:rsid w:val="00A721BA"/>
    <w:rsid w:val="00A76CA8"/>
    <w:rsid w:val="00AC20D9"/>
    <w:rsid w:val="00AD050A"/>
    <w:rsid w:val="00AE4191"/>
    <w:rsid w:val="00AE6488"/>
    <w:rsid w:val="00AF05BE"/>
    <w:rsid w:val="00B01FB3"/>
    <w:rsid w:val="00B1631B"/>
    <w:rsid w:val="00B1729B"/>
    <w:rsid w:val="00B35E76"/>
    <w:rsid w:val="00B37264"/>
    <w:rsid w:val="00B403D2"/>
    <w:rsid w:val="00B410FC"/>
    <w:rsid w:val="00B56613"/>
    <w:rsid w:val="00B5689B"/>
    <w:rsid w:val="00B574DC"/>
    <w:rsid w:val="00B90BF3"/>
    <w:rsid w:val="00B94B98"/>
    <w:rsid w:val="00BA1C1E"/>
    <w:rsid w:val="00BA3F6C"/>
    <w:rsid w:val="00BA50BA"/>
    <w:rsid w:val="00BB35C5"/>
    <w:rsid w:val="00BC0138"/>
    <w:rsid w:val="00BC7799"/>
    <w:rsid w:val="00BD66BC"/>
    <w:rsid w:val="00BD7AC7"/>
    <w:rsid w:val="00BF3393"/>
    <w:rsid w:val="00C03765"/>
    <w:rsid w:val="00C06678"/>
    <w:rsid w:val="00C11B5A"/>
    <w:rsid w:val="00C124C8"/>
    <w:rsid w:val="00C47667"/>
    <w:rsid w:val="00C56C9B"/>
    <w:rsid w:val="00C7009C"/>
    <w:rsid w:val="00C74643"/>
    <w:rsid w:val="00C80383"/>
    <w:rsid w:val="00C82B35"/>
    <w:rsid w:val="00C93D61"/>
    <w:rsid w:val="00CB76BB"/>
    <w:rsid w:val="00CC57B8"/>
    <w:rsid w:val="00CD6ED8"/>
    <w:rsid w:val="00CE33A4"/>
    <w:rsid w:val="00CE372A"/>
    <w:rsid w:val="00CE3897"/>
    <w:rsid w:val="00CE5BD7"/>
    <w:rsid w:val="00CF348B"/>
    <w:rsid w:val="00CF7EF3"/>
    <w:rsid w:val="00D04506"/>
    <w:rsid w:val="00D14800"/>
    <w:rsid w:val="00D1493D"/>
    <w:rsid w:val="00D21A5C"/>
    <w:rsid w:val="00D22D69"/>
    <w:rsid w:val="00D3357B"/>
    <w:rsid w:val="00D33813"/>
    <w:rsid w:val="00D33F2D"/>
    <w:rsid w:val="00D36E00"/>
    <w:rsid w:val="00D57B58"/>
    <w:rsid w:val="00D6134E"/>
    <w:rsid w:val="00D61414"/>
    <w:rsid w:val="00D7654A"/>
    <w:rsid w:val="00D77CE3"/>
    <w:rsid w:val="00D845D5"/>
    <w:rsid w:val="00DA23D9"/>
    <w:rsid w:val="00DA3BAB"/>
    <w:rsid w:val="00DB1E7B"/>
    <w:rsid w:val="00DD5833"/>
    <w:rsid w:val="00DF5D1B"/>
    <w:rsid w:val="00DF63DE"/>
    <w:rsid w:val="00E05BAA"/>
    <w:rsid w:val="00E0721A"/>
    <w:rsid w:val="00E306EF"/>
    <w:rsid w:val="00E42FB7"/>
    <w:rsid w:val="00E46B53"/>
    <w:rsid w:val="00E55A9A"/>
    <w:rsid w:val="00E56E72"/>
    <w:rsid w:val="00E6376A"/>
    <w:rsid w:val="00E70E6C"/>
    <w:rsid w:val="00E80E45"/>
    <w:rsid w:val="00E839F4"/>
    <w:rsid w:val="00E86380"/>
    <w:rsid w:val="00E87C32"/>
    <w:rsid w:val="00E96EF9"/>
    <w:rsid w:val="00EA0346"/>
    <w:rsid w:val="00EB1E60"/>
    <w:rsid w:val="00EB2639"/>
    <w:rsid w:val="00EB7AD3"/>
    <w:rsid w:val="00EC6B0A"/>
    <w:rsid w:val="00EC7216"/>
    <w:rsid w:val="00ED5C30"/>
    <w:rsid w:val="00EE09F2"/>
    <w:rsid w:val="00EE25E3"/>
    <w:rsid w:val="00EE2DCA"/>
    <w:rsid w:val="00EE6420"/>
    <w:rsid w:val="00F04A60"/>
    <w:rsid w:val="00F04E77"/>
    <w:rsid w:val="00F04F81"/>
    <w:rsid w:val="00F115FD"/>
    <w:rsid w:val="00F1439C"/>
    <w:rsid w:val="00F42785"/>
    <w:rsid w:val="00F43F00"/>
    <w:rsid w:val="00F4489A"/>
    <w:rsid w:val="00F5402D"/>
    <w:rsid w:val="00F5584F"/>
    <w:rsid w:val="00F56DDD"/>
    <w:rsid w:val="00F61A8C"/>
    <w:rsid w:val="00F6514A"/>
    <w:rsid w:val="00F651F4"/>
    <w:rsid w:val="00F6665E"/>
    <w:rsid w:val="00F67BF0"/>
    <w:rsid w:val="00F72D28"/>
    <w:rsid w:val="00F73B9F"/>
    <w:rsid w:val="00F73CED"/>
    <w:rsid w:val="00F92FE6"/>
    <w:rsid w:val="00F931A2"/>
    <w:rsid w:val="00FA292E"/>
    <w:rsid w:val="00FB61DC"/>
    <w:rsid w:val="00FB6E20"/>
    <w:rsid w:val="00FC0E56"/>
    <w:rsid w:val="00FD0C99"/>
    <w:rsid w:val="00FD3476"/>
    <w:rsid w:val="00FF19EC"/>
    <w:rsid w:val="072F786C"/>
    <w:rsid w:val="0A76168F"/>
    <w:rsid w:val="0B1048A2"/>
    <w:rsid w:val="0CD10A6A"/>
    <w:rsid w:val="11F327D3"/>
    <w:rsid w:val="162B6B9A"/>
    <w:rsid w:val="164758AA"/>
    <w:rsid w:val="1C2F4AE9"/>
    <w:rsid w:val="206D5CE3"/>
    <w:rsid w:val="21E232D9"/>
    <w:rsid w:val="228272A7"/>
    <w:rsid w:val="234C2E32"/>
    <w:rsid w:val="24FD523E"/>
    <w:rsid w:val="2BE84087"/>
    <w:rsid w:val="2C336A42"/>
    <w:rsid w:val="304F6714"/>
    <w:rsid w:val="317A7257"/>
    <w:rsid w:val="363A7D1B"/>
    <w:rsid w:val="387C3BBD"/>
    <w:rsid w:val="3BB25D0A"/>
    <w:rsid w:val="3DBF45BD"/>
    <w:rsid w:val="3F841D4F"/>
    <w:rsid w:val="41A045ED"/>
    <w:rsid w:val="422D3506"/>
    <w:rsid w:val="43DF1FD6"/>
    <w:rsid w:val="45CC2237"/>
    <w:rsid w:val="48C143FE"/>
    <w:rsid w:val="508F7A66"/>
    <w:rsid w:val="50D4116C"/>
    <w:rsid w:val="538C6B46"/>
    <w:rsid w:val="53B25922"/>
    <w:rsid w:val="55E72863"/>
    <w:rsid w:val="5EA854A2"/>
    <w:rsid w:val="65870934"/>
    <w:rsid w:val="675C5C2B"/>
    <w:rsid w:val="69F67206"/>
    <w:rsid w:val="6BBB0ED2"/>
    <w:rsid w:val="6BEC19A3"/>
    <w:rsid w:val="6C33480E"/>
    <w:rsid w:val="6C6A76A5"/>
    <w:rsid w:val="6E254019"/>
    <w:rsid w:val="75243878"/>
    <w:rsid w:val="788B777E"/>
    <w:rsid w:val="7B0A2A79"/>
    <w:rsid w:val="7CA92E4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99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kern w:val="2"/>
      <w:sz w:val="24"/>
      <w:lang w:val="en-US" w:eastAsia="zh-CN" w:bidi="ar-SA"/>
    </w:rPr>
  </w:style>
  <w:style w:type="character" w:default="1" w:styleId="7">
    <w:name w:val="Default Paragraph Font"/>
    <w:uiPriority w:val="0"/>
  </w:style>
  <w:style w:type="table" w:default="1" w:styleId="5">
    <w:name w:val="Normal Table"/>
    <w:semiHidden/>
    <w:uiPriority w:val="0"/>
    <w:tblPr>
      <w:tblStyle w:val="5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link w:val="10"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Balloon Text"/>
    <w:basedOn w:val="1"/>
    <w:link w:val="11"/>
    <w:uiPriority w:val="0"/>
    <w:rPr>
      <w:sz w:val="18"/>
      <w:szCs w:val="18"/>
    </w:rPr>
  </w:style>
  <w:style w:type="paragraph" w:styleId="4">
    <w:name w:val="footer"/>
    <w:basedOn w:val="1"/>
    <w:link w:val="12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6">
    <w:name w:val="Table Grid"/>
    <w:basedOn w:val="5"/>
    <w:uiPriority w:val="0"/>
    <w:tblPr>
      <w:tblStyle w:val="5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">
    <w:name w:val="page number"/>
    <w:basedOn w:val="7"/>
    <w:uiPriority w:val="0"/>
  </w:style>
  <w:style w:type="character" w:styleId="9">
    <w:name w:val="Emphasis"/>
    <w:basedOn w:val="7"/>
    <w:qFormat/>
    <w:uiPriority w:val="20"/>
    <w:rPr>
      <w:i/>
      <w:iCs/>
    </w:rPr>
  </w:style>
  <w:style w:type="character" w:customStyle="1" w:styleId="10">
    <w:name w:val="页眉 Char"/>
    <w:link w:val="2"/>
    <w:uiPriority w:val="99"/>
    <w:rPr>
      <w:rFonts w:ascii="Times New Roman" w:hAnsi="Times New Roman" w:eastAsia="宋体"/>
      <w:kern w:val="2"/>
      <w:sz w:val="18"/>
    </w:rPr>
  </w:style>
  <w:style w:type="character" w:customStyle="1" w:styleId="11">
    <w:name w:val="批注框文本 Char"/>
    <w:link w:val="3"/>
    <w:uiPriority w:val="0"/>
    <w:rPr>
      <w:rFonts w:ascii="Times New Roman" w:hAnsi="Times New Roman" w:eastAsia="宋体"/>
      <w:kern w:val="2"/>
      <w:sz w:val="18"/>
      <w:szCs w:val="18"/>
    </w:rPr>
  </w:style>
  <w:style w:type="character" w:customStyle="1" w:styleId="12">
    <w:name w:val="页脚 Char"/>
    <w:link w:val="4"/>
    <w:uiPriority w:val="99"/>
    <w:rPr>
      <w:rFonts w:ascii="Times New Roman" w:hAnsi="Times New Roman" w:eastAsia="宋体"/>
      <w:kern w:val="2"/>
      <w:sz w:val="18"/>
      <w:szCs w:val="18"/>
    </w:rPr>
  </w:style>
  <w:style w:type="character" w:customStyle="1" w:styleId="13">
    <w:name w:val="Char Char1"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5"/>
    <customShpInfo spid="_x0000_s2056"/>
    <customShpInfo spid="_x0000_s2057"/>
    <customShpInfo spid="_x0000_s2049"/>
    <customShpInfo spid="_x0000_s1034"/>
    <customShpInfo spid="_x0000_s1038"/>
    <customShpInfo spid="_x0000_s1037"/>
    <customShpInfo spid="_x0000_s1036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番茄花园</Company>
  <Pages>31</Pages>
  <Words>4695</Words>
  <Characters>26767</Characters>
  <Lines>223</Lines>
  <Paragraphs>62</Paragraphs>
  <TotalTime>44</TotalTime>
  <ScaleCrop>false</ScaleCrop>
  <LinksUpToDate>false</LinksUpToDate>
  <CharactersWithSpaces>31400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2018-05-24T02:29:00Z</dcterms:created>
  <dc:creator>xjh</dc:creator>
  <cp:lastModifiedBy>LIL</cp:lastModifiedBy>
  <dcterms:modified xsi:type="dcterms:W3CDTF">2021-04-28T01:41:09Z</dcterms:modified>
  <dc:title>受审核部门 / 区域：                                      审核员：</dc:title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07B78FC924DB45BE986FA00F2FAF8243</vt:lpwstr>
  </property>
</Properties>
</file>