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rPr>
          <w:rFonts w:hint="eastAsia"/>
          <w:b/>
          <w:sz w:val="21"/>
        </w:rPr>
      </w:pPr>
      <w:r>
        <w:rPr>
          <w:rFonts w:hint="eastAsia"/>
        </w:rPr>
        <w:t xml:space="preserve">                                                                       </w:t>
      </w:r>
    </w:p>
    <w:tbl>
      <w:tblPr>
        <w:tblStyle w:val="5"/>
        <w:tblW w:w="52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69"/>
        <w:gridCol w:w="11641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292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     主管领导：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陪同人员：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徐慧</w:t>
            </w:r>
          </w:p>
        </w:tc>
        <w:tc>
          <w:tcPr>
            <w:tcW w:w="280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13" w:type="pct"/>
            <w:noWrap w:val="0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审核时间：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2021.4.28-29</w:t>
            </w:r>
          </w:p>
        </w:tc>
        <w:tc>
          <w:tcPr>
            <w:tcW w:w="28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8.5.6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28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负责制定生产计划，组织安排生产，编制生产作业指导书及相关设备操作规程；对生产过程负责管理和协调；生产设备的管理、维护、维修和保养；确保作业现场基础设施适用及工作环境良好；对产品实现过程进行策划；负责规定产品的标识内容及可追溯性措施；检测设备的管理、维护、维修和保养；负责产品检验；不合格品控制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部门负责人对本部门的职责和权限以及工作流程清楚、明确完成本部门的目标指标。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目标和方案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部门的安全目标：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pict>
                <v:shape id="_x0000_i1025" o:spt="75" type="#_x0000_t75" style="height:88pt;width:434.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按照季度进行考核，提供了20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季度目标考核表：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均已完成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r>
              <w:pict>
                <v:shape id="_x0000_i1026" o:spt="75" type="#_x0000_t75" style="height:276pt;width:440.5pt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措施基本可行。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每季度组织一次对目标、指标管理方案进行程度、完成情况的考核，提供安全目标、指标考核记录，20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季度的目标、指标管理方案完成情况考核，达到了阶段性的目标要求。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制定的指标和管理方案基本可行。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危险源辨识、风险评价和控制措施的确定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编制《危险源识别评价与控制程序》，其规定内容符合基本标准要求。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提供了《危险源清评价表》，涉及生产技术部的危险源主要包括：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班前准备：酒后上班，意识不清，引发伤害；带病工作引发伤害；不按规定穿戴工作服引发伤害；疲劳作业等；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现场行走：人员滑到，厂区内尖锐物划伤，厂内机动车辆撞击，物体撞击等。</w:t>
            </w:r>
          </w:p>
          <w:p>
            <w:pPr>
              <w:spacing w:line="360" w:lineRule="auto"/>
              <w:ind w:left="945" w:hanging="945" w:hangingChars="4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不对称引起单边发热导致烧坏线圈—烫伤，被卷入机械---机械伤害、机械噪声伤害--职业性噪声聋、材料飞出对人体伤害。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钻孔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作业：操作不规范—机械伤害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机械加工作业：机械伤害、噪声伤害、粉尘伤害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提供重大危险源清单：涉及生产技术部的重大危险源：</w:t>
            </w:r>
            <w:r>
              <w:rPr>
                <w:rFonts w:hint="eastAsia"/>
                <w:sz w:val="21"/>
                <w:szCs w:val="21"/>
              </w:rPr>
              <w:t>火灾、爆炸、触电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物体打击、机械伤害、设备落物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噪声伤害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冠病毒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 识别基本准确。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编制《生产和服务提供控制程序》，对生产过程进行控制。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1、本公司的产品：</w:t>
            </w:r>
            <w:r>
              <w:rPr>
                <w:sz w:val="21"/>
                <w:szCs w:val="21"/>
              </w:rPr>
              <w:t>石墨复合接地体的生产及销售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2、编制了工艺流程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现场询问了解的产品和服务实现流程为：石墨线（细）→编织→石墨线（粗）→包装→成品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3、制定目标，目标基本合理、可测量、可达到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4、生产设备：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5、检测仪器：检测设备主要有：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万用表、游标卡尺、电阻回路测试仪、千分尺、钢卷尺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6、编制了《原材料检验规范》、《生产过程检验规范》、《成品检验规范》、《设备管理制度》、《焊接操作规程》、等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7、相关法律法规要求《安全生产法》、《产品质量法》、《合同法》、《计量法》、《消费者权益保护法》等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8、产品执行标准：</w:t>
            </w:r>
            <w:r>
              <w:rPr>
                <w:rFonts w:hint="eastAsia"/>
                <w:sz w:val="21"/>
                <w:szCs w:val="21"/>
              </w:rPr>
              <w:t xml:space="preserve">GB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/T21698-2008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sz w:val="21"/>
                <w:szCs w:val="21"/>
              </w:rPr>
              <w:t>复合接地体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技术条件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9、遵照岗位职责、工艺流程、产品检验规程等作业指导文件实施过程控制。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产品通过检验来对产品实现过程进行控制。生产过程中由目负责人组织进行检查，项目完成后由客户进行验收，符合要求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10、策划了生产计划、产品检验记录等，记录均保期3年。由生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部统一汇总存储。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11、通过识别与评价对公司目标和战略方向相关，影响其实现质量管理体系预期结果的各种内外部环境因素，有效应对风险和机遇。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12、外包过程：产品运输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13、策划适合组织体系运行需要，未发生更改，策划情况符合标准要求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产品实现策划的输出的信息充分，输出内容满足标准要求和企业实际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本部门应执行的运行控制文件包括：运行控制程序/安全生产制度/职业卫生管理制度等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运行控制情况：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■生产过程中使用主要设备：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■办公过程注意节约用电，做到人走灯灭，电脑长时间不用时关机，下班前要关闭电源；办公过程产生的固废按办公室要求放到指定地点，现场查看无混放现象；办公用品按要求由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负责发放；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■生产噪声控制：主要噪声有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压扣机、钻床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等设备运行过程中产生的机械性噪声，在购置设备时选用低噪声设备，采取厂房屏蔽，安装消声器等措施后，尽可能减小设备噪声。并采取阶段性作业。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■杜绝重大火灾事故：每月对消防器材进行一次全面检查。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■废气、粉尘排放控制：废气主要来源：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、机加工产生的废气及粉尘，通过集气罩、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旋风除尘器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、排气筒进行处理，排放浓度达标；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■杜绝重大机械伤害、物体打击控制情况：现场有必要安全标识、工人均佩戴劳动防护用品；公司对车间每月进行一次安全生产大检查，查见20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安全巡检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记录，检查结果：合格。检查人：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。查见对工人进行三级安全培训的培训记录，制定了相应的应急预案。近一年内未出现过严重的工伤事故。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■触电情况：现场工人劳保用品配备和设备电源开关管理等基本符合要求；电工定期对现场设备接地情况定期进行检查，确保设备接地良好，但现场查看生产设备配电箱电线过多，灰尘较大，存在安全隐患，已同部门负责人交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仓库：★原材料库存放的原材料少量，分类存放，现场观察基本符合要求。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★货物装卸过程要求进出车辆要求进入公司附近开始不鸣喇叭；装卸过程注意协调指挥，互相防护，避免跌落、砸伤、车辆伤害等。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★员工按要求佩戴了手套、工作服。操作过程中，互相护卫。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★仓库搬运工人配备了劳保服、手套等劳保用品，经查现场操作人员佩戴齐全。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提供劳保用品发放记录，抽查 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，发放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品种有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口罩、防滑鞋等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，经查符合要求。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★潜在火灾的控制情况：提供了火灾应急预案。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对仓库库存放产品每月检查一次，检查内容有产品库存情况、防护情况等，目前控制情况良好。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经查，符合要求。</w:t>
            </w:r>
          </w:p>
        </w:tc>
        <w:tc>
          <w:tcPr>
            <w:tcW w:w="28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执行《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zh-CN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zh-CN"/>
              </w:rPr>
              <w:t>程序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》。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11月16日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参加了公司组织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机械伤害、火灾和触电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演练，相关记录详见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记录。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产品和服务的设计和开发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8.3</w:t>
            </w:r>
          </w:p>
        </w:tc>
        <w:tc>
          <w:tcPr>
            <w:tcW w:w="391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经现场确认，产品和服务依据国家标准、行业标准、客户要求进行生产、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，目前工艺流程简单成熟、设备、人员等均为变更，无设计开发要求，故不适用8.3条款，不影响组织确保其产品和服务合格的能力或责任，对增强顾客满意也不会产生影响。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查《生产设备台帐》，主要主要设备：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查特种设备，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3吨叉车1台，为租赁设备，提供了租赁合同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（见附件）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现场查看，生产检测设备完好，维护保养基本得当，能够满足生产符合要求产品的需要。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抽生产设备保养、检修情况：提供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等设备“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设备维修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记录”，其显示了设备名称、保养项目、保养时间、责任人等。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提供设备日常保养项目表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记录清晰，写明了维修内容、维修人等内容，满足策划要求。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运行环境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厂区</w:t>
            </w:r>
            <w:r>
              <w:rPr>
                <w:rFonts w:hint="eastAsia" w:ascii="宋体" w:hAnsi="宋体"/>
                <w:sz w:val="21"/>
                <w:szCs w:val="21"/>
              </w:rPr>
              <w:t>占地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10000平米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建筑面积5800</w:t>
            </w:r>
            <w:r>
              <w:rPr>
                <w:rFonts w:hint="eastAsia" w:ascii="宋体" w:hAnsi="宋体"/>
                <w:sz w:val="21"/>
                <w:szCs w:val="21"/>
              </w:rPr>
              <w:t>平米</w:t>
            </w:r>
            <w:r>
              <w:rPr>
                <w:rFonts w:hint="eastAsia" w:cs="宋体"/>
                <w:sz w:val="21"/>
                <w:szCs w:val="21"/>
              </w:rPr>
              <w:t>，生产车间1个，办公楼1座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设备布局合理，场所卫生干净整洁，采光良好，有足够的光照度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车间宽敞明亮，干净整洁，分割区划分得当，通道畅通。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车间内各种规格、型号产品摆放整齐，工序间工位器具设置较合理。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车间工人在工作前及工作结束后能够及时清理环境及设备。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工人每日工作前，仔细检查设备防护情况。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工作环境得到良好的控制。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产品和服务的设计和开发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经现场确认，产品和服务依据国家标准、行业标准、客户要求进行生产、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维修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，目前工艺流程简单成熟、设备、人员等均为变更，无设计开发要求，故不适用8.3条款，不影响组织确保其产品和服务合格的能力或责任，对增强顾客满意也不会产生影响。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生产和服务提供的控制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编制《生产和服务提供控制程序》，对生产过程进行控制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1）获得规定以下内容的文件化信息：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生产的产品、提供的服务或执行的活动的特征：</w:t>
            </w:r>
          </w:p>
          <w:p>
            <w:pPr>
              <w:ind w:firstLine="105" w:firstLineChars="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组织组装的产品及服务有关的法律法规：产品质量法、合同法、计量法、消费者权益保护法、环境保护法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GB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/T21698-2008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sz w:val="21"/>
                <w:szCs w:val="21"/>
              </w:rPr>
              <w:t>复合接地体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技术条件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编制了生产流程：具体见8.1条款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生产部根据销售合同下生产计划：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生产计划；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完成日期：20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25日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产品名称         型号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数量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接地模块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400*500*60mm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3000块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            直径18            3000Kg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            直径20           16000Kg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生产计划； 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完成日期：20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产品名称         型号                     数量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接地模块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400*500*60mm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3000块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            直径18            2000Kg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            直径20           3000Kg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及其他产品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计划人：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田宝刚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生产的产品能够符合国家、行业标准及客户要求，满足相关法律法规要求及产品使用性能/功能要求及售后服务承诺。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2）获得和使用适宜的监视和测量资源：提供的主要监视和测量设备有：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万用表、游标卡尺、电阻回路测试仪、千分尺、钢卷尺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现场审核提供了计量器具台帐，从数量、品种上能够满足产品检查需要。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3）在适当阶段进行监视和测量，以验证过程或输出的控制及产品和服务的接收准则已得到满足；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产品通过检验等来对产品实现过程进行控制。生产过程中由专人进行检查，完成后由客户进行验收，符合要求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查过程控制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石墨线编织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等半成品检验：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抽查工艺执行检查记录，包括产品名称、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、工序、操作人、检验人时间等，检查主要是尺寸要求、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等，记录清晰完整，符合要求。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石墨压扣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等半成品检验：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抽查工艺执行检查记录，包括产品名称、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、工序、操作人、检验人时间等，检查主要是尺寸要求、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牢固程度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、安装定位等，记录清晰完整，符合要求。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4）使用适宜的设备和过程环境；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主要生产设备：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编织机、搅拌机、包装机、钻床、压扣机等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，满足生产需求；设备精度保证，维修及时，有设备日常保养记录.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过程环境：详见 7.1.4 审核记录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5）配备胜任的人员，包括所需求的资格：初中以上学历；视力良好；经过培训、考核合格后上岗。；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6）若输出结果不能由后续的监视或测量加以验证，应对生产和服务提供过程实现策划结果的能力进行确认，并定期再确认：经确认，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特殊过程。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7）实施防止人为错误的措施：体系文件中明确规定了不合格品控制要求：包括原材料的不合格品，生产加工中的不合格品、组装过程中产生的不良品均不准转序，必须按照相关文件、制度执行。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实施放行、交付和交付后活动：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现场查验：原材料进货检验均有检验员签字后方可放行；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生产过程的控制由各自工序检验合格后，方可放行；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成品的检验必须经主管质量负责人确认签字后方可交付。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对不影响使用功能的产品必须经总经理授权后，方可放行。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上述措施实施有效。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8）实施放行、交付和交付后的活动：按照各图纸要求实施过程控制，以确保有效实施放行、交付和交付后活动：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查产品交付：根据合同要求进行产品交付。</w:t>
            </w:r>
          </w:p>
          <w:p>
            <w:pPr>
              <w:ind w:left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查交付后的活动：产品交付后的活动直接由供销部负责改进落实。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现场巡视生产现场：生产现场干净整洁，人员配备符合要求。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现场正在进行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石墨线直径20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的生产：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编织机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进行加工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制作；按图纸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和顾客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要求进行加工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钻孔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连接固定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压扣机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安装牢固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按规定的数量进入包装，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物流外运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生产过程受控。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产品防护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8.5.4</w:t>
            </w:r>
          </w:p>
        </w:tc>
        <w:tc>
          <w:tcPr>
            <w:tcW w:w="11639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该公司产品无特殊防护要求，主要防护要求为防潮和防磕碰，产品在搬运过程中采取机械和人工搬运，避免磕碰。成品一般用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纸</w:t>
            </w:r>
            <w:r>
              <w:rPr>
                <w:rFonts w:hint="eastAsia"/>
                <w:sz w:val="21"/>
                <w:szCs w:val="21"/>
              </w:rPr>
              <w:t>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或编织袋</w:t>
            </w:r>
            <w:r>
              <w:rPr>
                <w:rFonts w:hint="eastAsia"/>
                <w:sz w:val="21"/>
                <w:szCs w:val="21"/>
              </w:rPr>
              <w:t>包装，码放整齐，分门别类存放于成品库内。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贮存环境：贮存材料、成品的仓库清洁，干燥，防护措施得当，满足要求。有专门的库管员进行保管，出入库登记手续齐全，有库房台账、账务卡相符，管理比较规范。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有消防器材——灭火器，可以做到防火防盗，能够有效的对产品进行防护措施。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变更的控制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8.5.6</w:t>
            </w:r>
          </w:p>
        </w:tc>
        <w:tc>
          <w:tcPr>
            <w:tcW w:w="11639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查变更的控制：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与生产部门沟通，销售合同评审后，按合同要求进行生产、组装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sz w:val="21"/>
        </w:rPr>
      </w:pPr>
    </w:p>
    <w:p>
      <w:pPr>
        <w:jc w:val="left"/>
        <w:rPr>
          <w:rFonts w:hint="eastAsia" w:ascii="宋体" w:hAnsi="宋体"/>
          <w:sz w:val="21"/>
        </w:rPr>
      </w:pPr>
    </w:p>
    <w:p>
      <w:pPr>
        <w:jc w:val="left"/>
        <w:rPr>
          <w:rFonts w:hint="eastAsia" w:ascii="宋体" w:hAnsi="宋体"/>
          <w:sz w:val="21"/>
        </w:rPr>
      </w:pPr>
    </w:p>
    <w:p>
      <w:pPr>
        <w:jc w:val="left"/>
        <w:rPr>
          <w:rFonts w:hint="eastAsia" w:ascii="宋体" w:hAnsi="宋体"/>
          <w:sz w:val="21"/>
        </w:rPr>
      </w:pPr>
    </w:p>
    <w:p>
      <w:pPr>
        <w:jc w:val="left"/>
        <w:rPr>
          <w:rFonts w:hint="eastAsia" w:ascii="宋体" w:hAnsi="宋体"/>
          <w:sz w:val="21"/>
        </w:rPr>
      </w:pPr>
    </w:p>
    <w:p>
      <w:pPr>
        <w:pStyle w:val="4"/>
        <w:rPr>
          <w:rFonts w:hint="eastAsia" w:ascii="宋体" w:hAnsi="宋体"/>
          <w:sz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080" w:right="1440" w:bottom="1080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  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31</w:t>
    </w:r>
    <w:r>
      <w:rPr>
        <w:b/>
        <w:sz w:val="24"/>
        <w:szCs w:val="24"/>
      </w:rPr>
      <w:fldChar w:fldCharType="end"/>
    </w:r>
    <w:r>
      <w:rPr>
        <w:rFonts w:hint="eastAsia"/>
      </w:rPr>
      <w:t>页</w:t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0" o:spid="_x0000_s4100" o:spt="202" type="#_x0000_t202" style="position:absolute;left:0pt;margin-top:0pt;height:10.5pt;width:2.8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8"/>
                  </w:rPr>
                </w:pPr>
                <w: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8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line="320" w:lineRule="exact"/>
      <w:ind w:left="-98" w:leftChars="-41" w:firstLine="1285" w:firstLineChars="400"/>
      <w:jc w:val="left"/>
      <w:rPr>
        <w:rFonts w:hint="eastAsia"/>
      </w:rPr>
    </w:pPr>
    <w:r>
      <w:rPr>
        <w:b/>
        <w:sz w:val="32"/>
      </w:rPr>
      <w:pict>
        <v:shape id="_x0000_s4097" o:spid="_x0000_s4097" o:spt="202" type="#_x0000_t202" style="position:absolute;left:0pt;margin-left:634.85pt;margin-top:-2.1pt;height:37.2pt;width:79.5pt;z-index:251660288;mso-width-relative:page;mso-height-relative:page;" fillcolor="#FFFFFF" filled="t" stroked="t" coordsize="21600,21600">
          <v:path/>
          <v:fill on="t" focussize="0,0"/>
          <v:stroke color="#FFFFFF"/>
          <v:imagedata o:title=""/>
          <o:lock v:ext="edit"/>
          <v:textbox>
            <w:txbxContent>
              <w:p>
                <w:pPr>
                  <w:jc w:val="right"/>
                  <w:rPr>
                    <w:rFonts w:hint="eastAsia" w:ascii="黑体" w:hAnsi="黑体" w:eastAsia="黑体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b/>
        <w:sz w:val="32"/>
      </w:rPr>
      <w:tab/>
    </w:r>
    <w:r>
      <w:rPr>
        <w:sz w:val="21"/>
        <w:szCs w:val="21"/>
      </w:rPr>
      <w:pict>
        <v:shape id="图片 24" o:spid="_x0000_s4098" o:spt="75" type="#_x0000_t75" style="position:absolute;left:0pt;margin-left:-0.05pt;margin-top:14.4pt;height:34.1pt;width:32.3pt;mso-wrap-distance-left:9pt;mso-wrap-distance-right:9pt;z-index:-251655168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/>
          <v:imagedata r:id="rId1" o:title=""/>
          <o:lock v:ext="edit" aspectratio="t"/>
          <w10:wrap type="tight"/>
        </v:shape>
      </w:pict>
    </w:r>
    <w:r>
      <w:tab/>
    </w:r>
    <w:r>
      <w:rPr>
        <w:rFonts w:hint="eastAsia"/>
      </w:rPr>
      <w:t xml:space="preserve">   </w:t>
    </w:r>
  </w:p>
  <w:p>
    <w:pPr>
      <w:pStyle w:val="2"/>
      <w:pBdr>
        <w:bottom w:val="none" w:color="auto" w:sz="0" w:space="0"/>
      </w:pBdr>
      <w:spacing w:line="320" w:lineRule="exact"/>
      <w:jc w:val="left"/>
      <w:rPr>
        <w:rStyle w:val="13"/>
        <w:rFonts w:hint="default"/>
        <w:szCs w:val="21"/>
      </w:rPr>
    </w:pPr>
    <w:r>
      <w:rPr>
        <w:sz w:val="21"/>
        <w:szCs w:val="21"/>
      </w:rPr>
      <w:pict>
        <v:shape id="文本框 6" o:spid="_x0000_s4099" o:spt="202" type="#_x0000_t202" style="position:absolute;left:0pt;margin-left:290.7pt;margin-top:10.45pt;height:22.05pt;width:189.75pt;z-index:251662336;mso-width-relative:page;mso-height-relative:page;" fillcolor="#FFFFFF" filled="t" stroked="f" coordsize="21600,21600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ind w:firstLine="720" w:firstLineChars="4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ISC-B-I-31 管理体系检查表（03版）</w:t>
                </w:r>
              </w:p>
            </w:txbxContent>
          </v:textbox>
        </v:shape>
      </w:pict>
    </w:r>
    <w:r>
      <w:rPr>
        <w:rStyle w:val="13"/>
        <w:rFonts w:hint="default"/>
        <w:szCs w:val="21"/>
      </w:rPr>
      <w:t xml:space="preserve">       北京国标联合认证有限公司</w:t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rPr>
        <w:rStyle w:val="13"/>
        <w:rFonts w:hint="default"/>
        <w:szCs w:val="21"/>
      </w:rPr>
      <w:t xml:space="preserve">       </w:t>
    </w:r>
    <w:r>
      <w:rPr>
        <w:rStyle w:val="13"/>
        <w:rFonts w:hint="default"/>
        <w:w w:val="80"/>
        <w:szCs w:val="21"/>
      </w:rPr>
      <w:t xml:space="preserve">Beijing International Standard united Certification Co.,Ltd. </w:t>
    </w:r>
    <w:r>
      <w:rPr>
        <w:rStyle w:val="13"/>
        <w:rFonts w:hint="default"/>
        <w:w w:val="90"/>
        <w:szCs w:val="21"/>
      </w:rPr>
      <w:t xml:space="preserve"> </w:t>
    </w:r>
    <w:r>
      <w:rPr>
        <w:rStyle w:val="13"/>
        <w:rFonts w:hint="default"/>
        <w:w w:val="90"/>
      </w:rPr>
      <w:t xml:space="preserve">                    </w:t>
    </w:r>
    <w:r>
      <w:rPr>
        <w:b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478C4"/>
    <w:multiLevelType w:val="multilevel"/>
    <w:tmpl w:val="2B9478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D61"/>
    <w:rsid w:val="00002C43"/>
    <w:rsid w:val="0001134F"/>
    <w:rsid w:val="00014F15"/>
    <w:rsid w:val="00016D02"/>
    <w:rsid w:val="00020026"/>
    <w:rsid w:val="00040857"/>
    <w:rsid w:val="000530B4"/>
    <w:rsid w:val="000574DB"/>
    <w:rsid w:val="00060F9A"/>
    <w:rsid w:val="00062730"/>
    <w:rsid w:val="00097A5F"/>
    <w:rsid w:val="000A2AEE"/>
    <w:rsid w:val="000A5950"/>
    <w:rsid w:val="000A628B"/>
    <w:rsid w:val="000B6272"/>
    <w:rsid w:val="000C2B69"/>
    <w:rsid w:val="000C72D5"/>
    <w:rsid w:val="000E1F8C"/>
    <w:rsid w:val="000E38F3"/>
    <w:rsid w:val="000E75DA"/>
    <w:rsid w:val="000F4581"/>
    <w:rsid w:val="000F721F"/>
    <w:rsid w:val="00104382"/>
    <w:rsid w:val="0010603F"/>
    <w:rsid w:val="001066D6"/>
    <w:rsid w:val="00123826"/>
    <w:rsid w:val="00137B76"/>
    <w:rsid w:val="00153B2C"/>
    <w:rsid w:val="00171EBE"/>
    <w:rsid w:val="00181694"/>
    <w:rsid w:val="001911DF"/>
    <w:rsid w:val="001969B6"/>
    <w:rsid w:val="001A2E81"/>
    <w:rsid w:val="001A338C"/>
    <w:rsid w:val="001A3620"/>
    <w:rsid w:val="001B0069"/>
    <w:rsid w:val="001B34CF"/>
    <w:rsid w:val="001C15A2"/>
    <w:rsid w:val="001C17E2"/>
    <w:rsid w:val="001D208B"/>
    <w:rsid w:val="001D554E"/>
    <w:rsid w:val="001D6969"/>
    <w:rsid w:val="001E2B58"/>
    <w:rsid w:val="00201DEE"/>
    <w:rsid w:val="00204F90"/>
    <w:rsid w:val="002059DE"/>
    <w:rsid w:val="00207DEA"/>
    <w:rsid w:val="002102B1"/>
    <w:rsid w:val="00230636"/>
    <w:rsid w:val="00240AD9"/>
    <w:rsid w:val="00241DBF"/>
    <w:rsid w:val="00247F09"/>
    <w:rsid w:val="002840FF"/>
    <w:rsid w:val="00287286"/>
    <w:rsid w:val="0028734F"/>
    <w:rsid w:val="002957D3"/>
    <w:rsid w:val="00297882"/>
    <w:rsid w:val="002B5C7E"/>
    <w:rsid w:val="002E237E"/>
    <w:rsid w:val="002F4197"/>
    <w:rsid w:val="00300F19"/>
    <w:rsid w:val="003140A3"/>
    <w:rsid w:val="00316AC0"/>
    <w:rsid w:val="00327D7D"/>
    <w:rsid w:val="0033543D"/>
    <w:rsid w:val="00355607"/>
    <w:rsid w:val="0036044B"/>
    <w:rsid w:val="00361066"/>
    <w:rsid w:val="00363A8F"/>
    <w:rsid w:val="0037354C"/>
    <w:rsid w:val="00384358"/>
    <w:rsid w:val="00390DAD"/>
    <w:rsid w:val="0039405C"/>
    <w:rsid w:val="00396181"/>
    <w:rsid w:val="003A2E12"/>
    <w:rsid w:val="003A55B2"/>
    <w:rsid w:val="003C51CD"/>
    <w:rsid w:val="003C6C0A"/>
    <w:rsid w:val="004041A8"/>
    <w:rsid w:val="0041420E"/>
    <w:rsid w:val="00421453"/>
    <w:rsid w:val="00424B1D"/>
    <w:rsid w:val="004408BF"/>
    <w:rsid w:val="00447264"/>
    <w:rsid w:val="00453E58"/>
    <w:rsid w:val="00453F5E"/>
    <w:rsid w:val="00465236"/>
    <w:rsid w:val="0046595E"/>
    <w:rsid w:val="004660B8"/>
    <w:rsid w:val="004823BE"/>
    <w:rsid w:val="00483D53"/>
    <w:rsid w:val="004862A3"/>
    <w:rsid w:val="00492CF2"/>
    <w:rsid w:val="00492F64"/>
    <w:rsid w:val="004943C0"/>
    <w:rsid w:val="004A3D25"/>
    <w:rsid w:val="004A5553"/>
    <w:rsid w:val="004C17FE"/>
    <w:rsid w:val="004C45EC"/>
    <w:rsid w:val="00503BDD"/>
    <w:rsid w:val="00510D1E"/>
    <w:rsid w:val="005260C0"/>
    <w:rsid w:val="00534861"/>
    <w:rsid w:val="005504B6"/>
    <w:rsid w:val="00583455"/>
    <w:rsid w:val="0058386C"/>
    <w:rsid w:val="00583F87"/>
    <w:rsid w:val="00592FD4"/>
    <w:rsid w:val="0059355F"/>
    <w:rsid w:val="005A0F5A"/>
    <w:rsid w:val="005A0FA4"/>
    <w:rsid w:val="005A7A30"/>
    <w:rsid w:val="005B3B95"/>
    <w:rsid w:val="005C39F7"/>
    <w:rsid w:val="005C45C0"/>
    <w:rsid w:val="005E1A99"/>
    <w:rsid w:val="005E351A"/>
    <w:rsid w:val="005E60B1"/>
    <w:rsid w:val="005E62D5"/>
    <w:rsid w:val="005F7CA1"/>
    <w:rsid w:val="00600E0D"/>
    <w:rsid w:val="0060228A"/>
    <w:rsid w:val="00611BE6"/>
    <w:rsid w:val="00616DB3"/>
    <w:rsid w:val="00627F90"/>
    <w:rsid w:val="00640966"/>
    <w:rsid w:val="00650250"/>
    <w:rsid w:val="006524B8"/>
    <w:rsid w:val="006567BF"/>
    <w:rsid w:val="006621E1"/>
    <w:rsid w:val="00664B4D"/>
    <w:rsid w:val="00667175"/>
    <w:rsid w:val="00674F34"/>
    <w:rsid w:val="0068368B"/>
    <w:rsid w:val="00683E7D"/>
    <w:rsid w:val="0069152A"/>
    <w:rsid w:val="006A263A"/>
    <w:rsid w:val="006A56E8"/>
    <w:rsid w:val="006B7091"/>
    <w:rsid w:val="006C6CF3"/>
    <w:rsid w:val="006D3399"/>
    <w:rsid w:val="006D7F60"/>
    <w:rsid w:val="006E1253"/>
    <w:rsid w:val="00715EC4"/>
    <w:rsid w:val="007207B3"/>
    <w:rsid w:val="0072245F"/>
    <w:rsid w:val="0075579C"/>
    <w:rsid w:val="00761AE6"/>
    <w:rsid w:val="00765563"/>
    <w:rsid w:val="007710E6"/>
    <w:rsid w:val="00771F9F"/>
    <w:rsid w:val="00776B57"/>
    <w:rsid w:val="00786FC9"/>
    <w:rsid w:val="00791519"/>
    <w:rsid w:val="0079367F"/>
    <w:rsid w:val="007A2F7A"/>
    <w:rsid w:val="007A6EBF"/>
    <w:rsid w:val="007B3B7E"/>
    <w:rsid w:val="007D55B1"/>
    <w:rsid w:val="007D571E"/>
    <w:rsid w:val="007F19FD"/>
    <w:rsid w:val="0080627B"/>
    <w:rsid w:val="00816948"/>
    <w:rsid w:val="00826B77"/>
    <w:rsid w:val="00834C4A"/>
    <w:rsid w:val="008464D0"/>
    <w:rsid w:val="0084650D"/>
    <w:rsid w:val="00863C45"/>
    <w:rsid w:val="008817CE"/>
    <w:rsid w:val="00884DA6"/>
    <w:rsid w:val="0088566F"/>
    <w:rsid w:val="0089253E"/>
    <w:rsid w:val="00893C77"/>
    <w:rsid w:val="00893C82"/>
    <w:rsid w:val="008B0281"/>
    <w:rsid w:val="008B21E9"/>
    <w:rsid w:val="008B7B32"/>
    <w:rsid w:val="008C3F33"/>
    <w:rsid w:val="008E49D3"/>
    <w:rsid w:val="008F08B7"/>
    <w:rsid w:val="008F2B51"/>
    <w:rsid w:val="00901B93"/>
    <w:rsid w:val="009117B4"/>
    <w:rsid w:val="009222E8"/>
    <w:rsid w:val="0094421E"/>
    <w:rsid w:val="00955F36"/>
    <w:rsid w:val="00963FAF"/>
    <w:rsid w:val="0096633D"/>
    <w:rsid w:val="00982AA6"/>
    <w:rsid w:val="00984CC4"/>
    <w:rsid w:val="009A69B8"/>
    <w:rsid w:val="009B0F77"/>
    <w:rsid w:val="009B2524"/>
    <w:rsid w:val="009B3830"/>
    <w:rsid w:val="009D56D5"/>
    <w:rsid w:val="009E5BC4"/>
    <w:rsid w:val="009F6036"/>
    <w:rsid w:val="00A00F70"/>
    <w:rsid w:val="00A107A3"/>
    <w:rsid w:val="00A11893"/>
    <w:rsid w:val="00A13161"/>
    <w:rsid w:val="00A16105"/>
    <w:rsid w:val="00A16385"/>
    <w:rsid w:val="00A27630"/>
    <w:rsid w:val="00A33485"/>
    <w:rsid w:val="00A357A7"/>
    <w:rsid w:val="00A45C01"/>
    <w:rsid w:val="00A6024E"/>
    <w:rsid w:val="00A61EDC"/>
    <w:rsid w:val="00A721BA"/>
    <w:rsid w:val="00A76CA8"/>
    <w:rsid w:val="00AC20D9"/>
    <w:rsid w:val="00AD050A"/>
    <w:rsid w:val="00AE4191"/>
    <w:rsid w:val="00AE6488"/>
    <w:rsid w:val="00AF05BE"/>
    <w:rsid w:val="00B01FB3"/>
    <w:rsid w:val="00B1631B"/>
    <w:rsid w:val="00B1729B"/>
    <w:rsid w:val="00B35E76"/>
    <w:rsid w:val="00B37264"/>
    <w:rsid w:val="00B403D2"/>
    <w:rsid w:val="00B410FC"/>
    <w:rsid w:val="00B56613"/>
    <w:rsid w:val="00B5689B"/>
    <w:rsid w:val="00B574DC"/>
    <w:rsid w:val="00B90BF3"/>
    <w:rsid w:val="00B94B98"/>
    <w:rsid w:val="00BA1C1E"/>
    <w:rsid w:val="00BA3F6C"/>
    <w:rsid w:val="00BA50BA"/>
    <w:rsid w:val="00BB35C5"/>
    <w:rsid w:val="00BC0138"/>
    <w:rsid w:val="00BC7799"/>
    <w:rsid w:val="00BD66BC"/>
    <w:rsid w:val="00BD7AC7"/>
    <w:rsid w:val="00BF3393"/>
    <w:rsid w:val="00C03765"/>
    <w:rsid w:val="00C06678"/>
    <w:rsid w:val="00C11B5A"/>
    <w:rsid w:val="00C124C8"/>
    <w:rsid w:val="00C47667"/>
    <w:rsid w:val="00C56C9B"/>
    <w:rsid w:val="00C7009C"/>
    <w:rsid w:val="00C74643"/>
    <w:rsid w:val="00C80383"/>
    <w:rsid w:val="00C82B35"/>
    <w:rsid w:val="00C93D61"/>
    <w:rsid w:val="00CB76BB"/>
    <w:rsid w:val="00CC57B8"/>
    <w:rsid w:val="00CD6ED8"/>
    <w:rsid w:val="00CE33A4"/>
    <w:rsid w:val="00CE372A"/>
    <w:rsid w:val="00CE3897"/>
    <w:rsid w:val="00CE5BD7"/>
    <w:rsid w:val="00CF348B"/>
    <w:rsid w:val="00CF7EF3"/>
    <w:rsid w:val="00D04506"/>
    <w:rsid w:val="00D14800"/>
    <w:rsid w:val="00D1493D"/>
    <w:rsid w:val="00D21A5C"/>
    <w:rsid w:val="00D22D69"/>
    <w:rsid w:val="00D3357B"/>
    <w:rsid w:val="00D33813"/>
    <w:rsid w:val="00D33F2D"/>
    <w:rsid w:val="00D36E00"/>
    <w:rsid w:val="00D57B58"/>
    <w:rsid w:val="00D6134E"/>
    <w:rsid w:val="00D61414"/>
    <w:rsid w:val="00D7654A"/>
    <w:rsid w:val="00D77CE3"/>
    <w:rsid w:val="00D845D5"/>
    <w:rsid w:val="00DA23D9"/>
    <w:rsid w:val="00DA3BAB"/>
    <w:rsid w:val="00DB1E7B"/>
    <w:rsid w:val="00DD5833"/>
    <w:rsid w:val="00DF5D1B"/>
    <w:rsid w:val="00DF63DE"/>
    <w:rsid w:val="00E05BAA"/>
    <w:rsid w:val="00E0721A"/>
    <w:rsid w:val="00E306EF"/>
    <w:rsid w:val="00E42FB7"/>
    <w:rsid w:val="00E46B53"/>
    <w:rsid w:val="00E55A9A"/>
    <w:rsid w:val="00E56E72"/>
    <w:rsid w:val="00E6376A"/>
    <w:rsid w:val="00E70E6C"/>
    <w:rsid w:val="00E80E45"/>
    <w:rsid w:val="00E839F4"/>
    <w:rsid w:val="00E86380"/>
    <w:rsid w:val="00E87C32"/>
    <w:rsid w:val="00E96EF9"/>
    <w:rsid w:val="00EA0346"/>
    <w:rsid w:val="00EB1E60"/>
    <w:rsid w:val="00EB2639"/>
    <w:rsid w:val="00EB7AD3"/>
    <w:rsid w:val="00EC6B0A"/>
    <w:rsid w:val="00EC7216"/>
    <w:rsid w:val="00ED5C30"/>
    <w:rsid w:val="00EE09F2"/>
    <w:rsid w:val="00EE25E3"/>
    <w:rsid w:val="00EE2DCA"/>
    <w:rsid w:val="00EE6420"/>
    <w:rsid w:val="00F04A60"/>
    <w:rsid w:val="00F04E77"/>
    <w:rsid w:val="00F04F81"/>
    <w:rsid w:val="00F115FD"/>
    <w:rsid w:val="00F1439C"/>
    <w:rsid w:val="00F42785"/>
    <w:rsid w:val="00F43F00"/>
    <w:rsid w:val="00F4489A"/>
    <w:rsid w:val="00F5402D"/>
    <w:rsid w:val="00F5584F"/>
    <w:rsid w:val="00F56DDD"/>
    <w:rsid w:val="00F61A8C"/>
    <w:rsid w:val="00F6514A"/>
    <w:rsid w:val="00F651F4"/>
    <w:rsid w:val="00F6665E"/>
    <w:rsid w:val="00F67BF0"/>
    <w:rsid w:val="00F72D28"/>
    <w:rsid w:val="00F73B9F"/>
    <w:rsid w:val="00F73CED"/>
    <w:rsid w:val="00F92FE6"/>
    <w:rsid w:val="00F931A2"/>
    <w:rsid w:val="00FA292E"/>
    <w:rsid w:val="00FB61DC"/>
    <w:rsid w:val="00FB6E20"/>
    <w:rsid w:val="00FC0E56"/>
    <w:rsid w:val="00FD0C99"/>
    <w:rsid w:val="00FD3476"/>
    <w:rsid w:val="00FF19EC"/>
    <w:rsid w:val="072F786C"/>
    <w:rsid w:val="0A76168F"/>
    <w:rsid w:val="0B1048A2"/>
    <w:rsid w:val="0CD10A6A"/>
    <w:rsid w:val="11F327D3"/>
    <w:rsid w:val="162B6B9A"/>
    <w:rsid w:val="164758AA"/>
    <w:rsid w:val="1C2F4AE9"/>
    <w:rsid w:val="1CE67BEE"/>
    <w:rsid w:val="206D5CE3"/>
    <w:rsid w:val="21E232D9"/>
    <w:rsid w:val="228272A7"/>
    <w:rsid w:val="234C2E32"/>
    <w:rsid w:val="24FD523E"/>
    <w:rsid w:val="2BE84087"/>
    <w:rsid w:val="2C336A42"/>
    <w:rsid w:val="304F6714"/>
    <w:rsid w:val="317A7257"/>
    <w:rsid w:val="363A7D1B"/>
    <w:rsid w:val="3BB25D0A"/>
    <w:rsid w:val="3DBF45BD"/>
    <w:rsid w:val="3F841D4F"/>
    <w:rsid w:val="41A045ED"/>
    <w:rsid w:val="422D3506"/>
    <w:rsid w:val="43DF1FD6"/>
    <w:rsid w:val="442168B9"/>
    <w:rsid w:val="45CC2237"/>
    <w:rsid w:val="48C143FE"/>
    <w:rsid w:val="50D4116C"/>
    <w:rsid w:val="538C6B46"/>
    <w:rsid w:val="53B25922"/>
    <w:rsid w:val="591C6282"/>
    <w:rsid w:val="5EA854A2"/>
    <w:rsid w:val="65630F3E"/>
    <w:rsid w:val="65870934"/>
    <w:rsid w:val="675C5C2B"/>
    <w:rsid w:val="69F67206"/>
    <w:rsid w:val="6AB07FAA"/>
    <w:rsid w:val="6BBB0ED2"/>
    <w:rsid w:val="6BEC19A3"/>
    <w:rsid w:val="6C33480E"/>
    <w:rsid w:val="6C6A76A5"/>
    <w:rsid w:val="6E254019"/>
    <w:rsid w:val="75243878"/>
    <w:rsid w:val="788B777E"/>
    <w:rsid w:val="7B0A2A79"/>
    <w:rsid w:val="7CA9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link w:val="2"/>
    <w:uiPriority w:val="99"/>
    <w:rPr>
      <w:rFonts w:ascii="Times New Roman" w:hAnsi="Times New Roman" w:eastAsia="宋体"/>
      <w:kern w:val="2"/>
      <w:sz w:val="18"/>
    </w:rPr>
  </w:style>
  <w:style w:type="character" w:customStyle="1" w:styleId="11">
    <w:name w:val="批注框文本 Char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31</Pages>
  <Words>4695</Words>
  <Characters>26767</Characters>
  <Lines>223</Lines>
  <Paragraphs>62</Paragraphs>
  <TotalTime>4</TotalTime>
  <ScaleCrop>false</ScaleCrop>
  <LinksUpToDate>false</LinksUpToDate>
  <CharactersWithSpaces>31400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2018-05-24T02:29:00Z</dcterms:created>
  <dc:creator>xjh</dc:creator>
  <cp:lastModifiedBy>LIL</cp:lastModifiedBy>
  <dcterms:modified xsi:type="dcterms:W3CDTF">2021-04-29T15:38:43Z</dcterms:modified>
  <dc:title>受审核部门 / 区域：                                      审核员：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1FE5E5312D414B9985D34121AF5DF117</vt:lpwstr>
  </property>
</Properties>
</file>