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新疆隆威家具有限责任公司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0347-2021-QO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ISC-JSZJ-285</w:t>
            </w:r>
          </w:p>
          <w:p w:rsidR="009F508A">
            <w:pPr>
              <w:snapToGrid w:val="0"/>
              <w:spacing w:line="320" w:lineRule="exact"/>
              <w:ind w:left="1309"/>
              <w:rPr>
                <w:sz w:val="22"/>
                <w:szCs w:val="22"/>
                <w:highlight w:val="yellow"/>
              </w:rPr>
            </w:pPr>
            <w:r>
              <w:rPr>
                <w:sz w:val="22"/>
                <w:szCs w:val="22"/>
                <w:highlight w:val="yellow"/>
              </w:rPr>
              <w:t>ISC-JSZJ-285</w:t>
            </w:r>
          </w:p>
          <w:p w:rsidR="009F508A">
            <w:pPr>
              <w:snapToGrid w:val="0"/>
              <w:spacing w:line="320" w:lineRule="exact"/>
              <w:ind w:left="1309"/>
              <w:rPr>
                <w:sz w:val="22"/>
                <w:szCs w:val="22"/>
                <w:highlight w:val="yellow"/>
              </w:rPr>
            </w:pPr>
            <w:r>
              <w:rPr>
                <w:sz w:val="22"/>
                <w:szCs w:val="22"/>
                <w:highlight w:val="yellow"/>
              </w:rPr>
              <w:t>新疆阿吉诺家具制造有限公司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