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469" w:afterLines="150" w:line="480" w:lineRule="exact"/>
        <w:jc w:val="center"/>
        <w:textAlignment w:val="auto"/>
        <w:rPr>
          <w:rFonts w:ascii="隶书" w:hAnsi="宋体" w:eastAsia="隶书"/>
          <w:bCs/>
          <w:color w:val="000000"/>
          <w:sz w:val="36"/>
          <w:szCs w:val="36"/>
        </w:rPr>
      </w:pPr>
      <w:r>
        <w:rPr>
          <w:rFonts w:hint="eastAsia" w:ascii="隶书" w:hAnsi="宋体" w:eastAsia="隶书"/>
          <w:bCs/>
          <w:color w:val="000000"/>
          <w:sz w:val="36"/>
          <w:szCs w:val="36"/>
        </w:rPr>
        <w:t>管理体系审核记录</w:t>
      </w:r>
      <w:bookmarkStart w:id="1" w:name="_GoBack"/>
      <w:bookmarkEnd w:id="1"/>
      <w:r>
        <w:rPr>
          <w:rFonts w:hint="eastAsia" w:ascii="隶书" w:hAnsi="宋体" w:eastAsia="隶书"/>
          <w:bCs/>
          <w:color w:val="000000"/>
          <w:sz w:val="36"/>
          <w:szCs w:val="36"/>
        </w:rPr>
        <w:t>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eastAsia" w:eastAsia="宋体"/>
                <w:sz w:val="24"/>
                <w:szCs w:val="24"/>
                <w:lang w:eastAsia="zh-CN"/>
              </w:rPr>
            </w:pPr>
            <w:r>
              <w:rPr>
                <w:rFonts w:hint="eastAsia"/>
                <w:sz w:val="24"/>
                <w:szCs w:val="24"/>
              </w:rPr>
              <w:t>受审核部门：领导层</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陪同人员：</w:t>
            </w:r>
            <w:r>
              <w:rPr>
                <w:rFonts w:hint="eastAsia"/>
                <w:sz w:val="24"/>
                <w:szCs w:val="24"/>
                <w:lang w:val="en-US" w:eastAsia="zh-CN"/>
              </w:rPr>
              <w:t>王财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肖新龙</w:t>
            </w:r>
            <w:r>
              <w:rPr>
                <w:rFonts w:hint="eastAsia"/>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审核日期：202</w:t>
            </w:r>
            <w:r>
              <w:rPr>
                <w:rFonts w:hint="eastAsia"/>
                <w:sz w:val="24"/>
                <w:szCs w:val="24"/>
                <w:lang w:val="en-US" w:eastAsia="zh-CN"/>
              </w:rPr>
              <w:t>1-04-20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tabs>
                <w:tab w:val="left" w:pos="709"/>
              </w:tabs>
              <w:ind w:right="57"/>
              <w:jc w:val="left"/>
              <w:rPr>
                <w:rFonts w:hint="eastAsia"/>
                <w:szCs w:val="21"/>
              </w:rPr>
            </w:pPr>
            <w:r>
              <w:rPr>
                <w:rFonts w:hint="eastAsia"/>
                <w:sz w:val="24"/>
                <w:szCs w:val="24"/>
              </w:rPr>
              <w:t>审核条款：</w:t>
            </w:r>
            <w:r>
              <w:rPr>
                <w:rFonts w:hint="eastAsia"/>
                <w:szCs w:val="21"/>
              </w:rPr>
              <w:t>QMS：4.1</w:t>
            </w:r>
            <w:r>
              <w:rPr>
                <w:rFonts w:hint="eastAsia"/>
                <w:szCs w:val="21"/>
                <w:lang w:val="en-US" w:eastAsia="zh-CN"/>
              </w:rPr>
              <w:t>/</w:t>
            </w:r>
            <w:r>
              <w:rPr>
                <w:rFonts w:hint="eastAsia"/>
                <w:szCs w:val="21"/>
              </w:rPr>
              <w:t>4.2</w:t>
            </w:r>
            <w:r>
              <w:rPr>
                <w:rFonts w:hint="eastAsia"/>
                <w:szCs w:val="21"/>
                <w:lang w:val="en-US" w:eastAsia="zh-CN"/>
              </w:rPr>
              <w:t>/</w:t>
            </w:r>
            <w:r>
              <w:rPr>
                <w:rFonts w:hint="eastAsia"/>
                <w:szCs w:val="21"/>
              </w:rPr>
              <w:t>4.3</w:t>
            </w:r>
            <w:r>
              <w:rPr>
                <w:rFonts w:hint="eastAsia"/>
                <w:szCs w:val="21"/>
                <w:lang w:val="en-US" w:eastAsia="zh-CN"/>
              </w:rPr>
              <w:t>/</w:t>
            </w:r>
            <w:r>
              <w:rPr>
                <w:rFonts w:hint="eastAsia"/>
                <w:szCs w:val="21"/>
              </w:rPr>
              <w:t>4.4</w:t>
            </w:r>
            <w:r>
              <w:rPr>
                <w:rFonts w:hint="eastAsia"/>
                <w:szCs w:val="21"/>
                <w:lang w:val="en-US" w:eastAsia="zh-CN"/>
              </w:rPr>
              <w:t>/</w:t>
            </w:r>
            <w:r>
              <w:rPr>
                <w:szCs w:val="21"/>
              </w:rPr>
              <w:t>5.1</w:t>
            </w:r>
            <w:r>
              <w:rPr>
                <w:rFonts w:hint="eastAsia"/>
                <w:szCs w:val="21"/>
                <w:lang w:val="en-US" w:eastAsia="zh-CN"/>
              </w:rPr>
              <w:t>/</w:t>
            </w:r>
            <w:r>
              <w:rPr>
                <w:szCs w:val="21"/>
              </w:rPr>
              <w:t>5.2</w:t>
            </w:r>
            <w:r>
              <w:rPr>
                <w:rFonts w:hint="eastAsia"/>
                <w:szCs w:val="21"/>
                <w:lang w:val="en-US" w:eastAsia="zh-CN"/>
              </w:rPr>
              <w:t>/</w:t>
            </w:r>
            <w:r>
              <w:rPr>
                <w:szCs w:val="21"/>
              </w:rPr>
              <w:t>5.3</w:t>
            </w:r>
            <w:r>
              <w:rPr>
                <w:rFonts w:hint="eastAsia"/>
                <w:szCs w:val="21"/>
                <w:lang w:val="en-US" w:eastAsia="zh-CN"/>
              </w:rPr>
              <w:t>/</w:t>
            </w:r>
            <w:r>
              <w:rPr>
                <w:rFonts w:hint="eastAsia"/>
                <w:szCs w:val="21"/>
              </w:rPr>
              <w:t>6.1</w:t>
            </w:r>
            <w:r>
              <w:rPr>
                <w:rFonts w:hint="eastAsia"/>
                <w:szCs w:val="21"/>
                <w:lang w:val="en-US" w:eastAsia="zh-CN"/>
              </w:rPr>
              <w:t>/</w:t>
            </w:r>
            <w:r>
              <w:rPr>
                <w:rFonts w:hint="eastAsia"/>
                <w:szCs w:val="21"/>
              </w:rPr>
              <w:t>6.2</w:t>
            </w:r>
            <w:r>
              <w:rPr>
                <w:rFonts w:hint="eastAsia"/>
                <w:szCs w:val="21"/>
                <w:lang w:val="en-US" w:eastAsia="zh-CN"/>
              </w:rPr>
              <w:t>/</w:t>
            </w:r>
            <w:r>
              <w:rPr>
                <w:szCs w:val="21"/>
              </w:rPr>
              <w:t>6.3</w:t>
            </w:r>
            <w:r>
              <w:rPr>
                <w:rFonts w:hint="eastAsia"/>
                <w:szCs w:val="21"/>
                <w:lang w:val="en-US" w:eastAsia="zh-CN"/>
              </w:rPr>
              <w:t>/</w:t>
            </w:r>
            <w:r>
              <w:rPr>
                <w:szCs w:val="21"/>
              </w:rPr>
              <w:t>7</w:t>
            </w:r>
            <w:r>
              <w:rPr>
                <w:rFonts w:hint="eastAsia"/>
                <w:szCs w:val="21"/>
              </w:rPr>
              <w:t>.1.1</w:t>
            </w:r>
            <w:r>
              <w:rPr>
                <w:rFonts w:hint="eastAsia"/>
                <w:szCs w:val="21"/>
                <w:lang w:val="en-US" w:eastAsia="zh-CN"/>
              </w:rPr>
              <w:t>/</w:t>
            </w:r>
            <w:r>
              <w:rPr>
                <w:rFonts w:hint="eastAsia"/>
                <w:szCs w:val="21"/>
              </w:rPr>
              <w:t>7.1.2</w:t>
            </w:r>
            <w:r>
              <w:rPr>
                <w:rFonts w:hint="eastAsia"/>
                <w:szCs w:val="21"/>
                <w:lang w:val="en-US" w:eastAsia="zh-CN"/>
              </w:rPr>
              <w:t>/</w:t>
            </w:r>
            <w:r>
              <w:rPr>
                <w:rFonts w:hint="eastAsia"/>
                <w:szCs w:val="21"/>
              </w:rPr>
              <w:t>7.3</w:t>
            </w:r>
            <w:r>
              <w:rPr>
                <w:rFonts w:hint="eastAsia"/>
                <w:szCs w:val="21"/>
                <w:lang w:val="en-US" w:eastAsia="zh-CN"/>
              </w:rPr>
              <w:t>/</w:t>
            </w:r>
            <w:r>
              <w:rPr>
                <w:rFonts w:hint="eastAsia"/>
                <w:szCs w:val="21"/>
              </w:rPr>
              <w:t>9.1.1</w:t>
            </w:r>
            <w:r>
              <w:rPr>
                <w:rFonts w:hint="eastAsia"/>
                <w:szCs w:val="21"/>
                <w:lang w:val="en-US" w:eastAsia="zh-CN"/>
              </w:rPr>
              <w:t>/9.3/</w:t>
            </w:r>
            <w:r>
              <w:rPr>
                <w:rFonts w:hint="eastAsia"/>
                <w:szCs w:val="21"/>
              </w:rPr>
              <w:t>10.1</w:t>
            </w:r>
            <w:r>
              <w:rPr>
                <w:rFonts w:hint="eastAsia"/>
                <w:szCs w:val="21"/>
                <w:lang w:val="en-US" w:eastAsia="zh-CN"/>
              </w:rPr>
              <w:t>/</w:t>
            </w:r>
            <w:r>
              <w:rPr>
                <w:rFonts w:hint="eastAsia"/>
                <w:szCs w:val="21"/>
              </w:rPr>
              <w:t>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highlight w:val="none"/>
              </w:rPr>
            </w:pPr>
            <w:r>
              <w:rPr>
                <w:rFonts w:hint="eastAsia"/>
                <w:highlight w:val="none"/>
              </w:rPr>
              <w:t>理解组织及其环境</w:t>
            </w:r>
          </w:p>
        </w:tc>
        <w:tc>
          <w:tcPr>
            <w:tcW w:w="960" w:type="dxa"/>
            <w:vMerge w:val="restart"/>
          </w:tcPr>
          <w:p>
            <w:pPr>
              <w:rPr>
                <w:highlight w:val="none"/>
              </w:rPr>
            </w:pPr>
            <w:r>
              <w:rPr>
                <w:rFonts w:hint="eastAsia"/>
                <w:highlight w:val="none"/>
              </w:rPr>
              <w:t xml:space="preserve">Q4.1 </w:t>
            </w:r>
          </w:p>
        </w:tc>
        <w:tc>
          <w:tcPr>
            <w:tcW w:w="745" w:type="dxa"/>
          </w:tcPr>
          <w:p>
            <w:pPr>
              <w:rPr>
                <w:highlight w:val="none"/>
              </w:rPr>
            </w:pPr>
            <w:r>
              <w:rPr>
                <w:rFonts w:hint="eastAsia"/>
                <w:highlight w:val="none"/>
              </w:rPr>
              <w:t>文件名称</w:t>
            </w:r>
          </w:p>
        </w:tc>
        <w:tc>
          <w:tcPr>
            <w:tcW w:w="9259" w:type="dxa"/>
          </w:tcPr>
          <w:p>
            <w:pPr>
              <w:rPr>
                <w:highlight w:val="none"/>
              </w:rPr>
            </w:pPr>
            <w:r>
              <w:rPr>
                <w:rFonts w:hint="eastAsia"/>
                <w:highlight w:val="none"/>
              </w:rPr>
              <w:t>如：</w:t>
            </w:r>
            <w:r>
              <w:rPr>
                <w:rFonts w:hint="eastAsia"/>
                <w:highlight w:val="none"/>
              </w:rPr>
              <w:sym w:font="Wingdings" w:char="00FE"/>
            </w:r>
            <w:r>
              <w:rPr>
                <w:rFonts w:hint="eastAsia"/>
                <w:highlight w:val="none"/>
              </w:rPr>
              <w:t>《组织环境与相关方要求管理程序》、</w:t>
            </w:r>
            <w:r>
              <w:rPr>
                <w:rFonts w:hint="eastAsia"/>
                <w:highlight w:val="none"/>
              </w:rPr>
              <w:sym w:font="Wingdings" w:char="00FE"/>
            </w:r>
            <w:r>
              <w:rPr>
                <w:rFonts w:hint="eastAsia"/>
                <w:highlight w:val="none"/>
              </w:rPr>
              <w:t>管理手册第4.1章</w:t>
            </w:r>
          </w:p>
        </w:tc>
        <w:tc>
          <w:tcPr>
            <w:tcW w:w="1585" w:type="dxa"/>
            <w:vMerge w:val="restart"/>
          </w:tcPr>
          <w:p>
            <w:pPr>
              <w:rPr>
                <w:rFonts w:hint="eastAsia"/>
                <w:highlight w:val="none"/>
                <w:lang w:val="en-US" w:eastAsia="zh-CN"/>
              </w:rPr>
            </w:pPr>
            <w:r>
              <w:rPr>
                <w:rFonts w:hint="eastAsia"/>
                <w:highlight w:val="none"/>
              </w:rPr>
              <w:sym w:font="Wingdings" w:char="00FE"/>
            </w:r>
            <w:r>
              <w:rPr>
                <w:rFonts w:hint="eastAsia"/>
                <w:highlight w:val="none"/>
                <w:lang w:val="en-US" w:eastAsia="zh-CN"/>
              </w:rPr>
              <w:t>符合</w:t>
            </w:r>
          </w:p>
          <w:p>
            <w:pPr>
              <w:rPr>
                <w:highlight w:val="yellow"/>
              </w:rPr>
            </w:pPr>
            <w:r>
              <w:rPr>
                <w:rFonts w:hint="eastAsia"/>
                <w:highlight w:val="none"/>
              </w:rPr>
              <w:sym w:font="Wingdings" w:char="00A8"/>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160" w:type="dxa"/>
            <w:vMerge w:val="continue"/>
          </w:tcPr>
          <w:p>
            <w:pPr>
              <w:rPr>
                <w:highlight w:val="none"/>
              </w:rPr>
            </w:pPr>
          </w:p>
        </w:tc>
        <w:tc>
          <w:tcPr>
            <w:tcW w:w="960" w:type="dxa"/>
            <w:vMerge w:val="continue"/>
          </w:tcPr>
          <w:p>
            <w:pPr>
              <w:rPr>
                <w:highlight w:val="none"/>
              </w:rPr>
            </w:pPr>
          </w:p>
        </w:tc>
        <w:tc>
          <w:tcPr>
            <w:tcW w:w="745" w:type="dxa"/>
          </w:tcPr>
          <w:p>
            <w:pPr>
              <w:rPr>
                <w:highlight w:val="none"/>
              </w:rPr>
            </w:pPr>
            <w:r>
              <w:rPr>
                <w:rFonts w:hint="eastAsia"/>
                <w:highlight w:val="none"/>
              </w:rPr>
              <w:t>运行证据</w:t>
            </w:r>
          </w:p>
        </w:tc>
        <w:tc>
          <w:tcPr>
            <w:tcW w:w="9259" w:type="dxa"/>
          </w:tcPr>
          <w:p>
            <w:pPr>
              <w:rPr>
                <w:color w:val="000000"/>
                <w:szCs w:val="21"/>
                <w:highlight w:val="none"/>
              </w:rPr>
            </w:pPr>
            <w:r>
              <w:rPr>
                <w:rFonts w:hint="eastAsia"/>
                <w:color w:val="000000"/>
                <w:szCs w:val="21"/>
                <w:highlight w:val="none"/>
              </w:rPr>
              <w:t>与最高管理者沟通：</w:t>
            </w:r>
          </w:p>
          <w:p>
            <w:pPr>
              <w:rPr>
                <w:color w:val="000000"/>
                <w:szCs w:val="21"/>
                <w:highlight w:val="none"/>
              </w:rPr>
            </w:pPr>
            <w:r>
              <w:rPr>
                <w:rFonts w:hint="eastAsia"/>
                <w:color w:val="000000"/>
                <w:szCs w:val="21"/>
                <w:highlight w:val="none"/>
              </w:rPr>
              <w:t>组织的环境：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rPr>
                      <w:highlight w:val="none"/>
                    </w:rPr>
                  </w:pPr>
                  <w:r>
                    <w:rPr>
                      <w:rFonts w:hint="eastAsia"/>
                      <w:highlight w:val="none"/>
                    </w:rPr>
                    <w:t>外部环境</w:t>
                  </w:r>
                </w:p>
              </w:tc>
              <w:tc>
                <w:tcPr>
                  <w:tcW w:w="6960" w:type="dxa"/>
                </w:tcPr>
                <w:p>
                  <w:pPr>
                    <w:rPr>
                      <w:highlight w:val="none"/>
                    </w:rPr>
                  </w:pPr>
                  <w:r>
                    <w:rPr>
                      <w:rFonts w:hint="eastAsia"/>
                      <w:highlight w:val="none"/>
                    </w:rPr>
                    <w:t xml:space="preserve">☑法律法规 </w:t>
                  </w:r>
                  <w:r>
                    <w:rPr>
                      <w:rFonts w:hint="eastAsia"/>
                      <w:highlight w:val="none"/>
                      <w:lang w:eastAsia="zh-CN"/>
                    </w:rPr>
                    <w:t>□</w:t>
                  </w:r>
                  <w:r>
                    <w:rPr>
                      <w:rFonts w:hint="eastAsia"/>
                      <w:highlight w:val="none"/>
                    </w:rPr>
                    <w:t>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rPr>
                      <w:highlight w:val="none"/>
                    </w:rPr>
                  </w:pPr>
                  <w:r>
                    <w:rPr>
                      <w:rFonts w:hint="eastAsia"/>
                      <w:highlight w:val="none"/>
                    </w:rPr>
                    <w:t>列举主要的内容</w:t>
                  </w:r>
                </w:p>
              </w:tc>
              <w:tc>
                <w:tcPr>
                  <w:tcW w:w="6960" w:type="dxa"/>
                </w:tcPr>
                <w:p>
                  <w:pPr>
                    <w:rPr>
                      <w:highlight w:val="none"/>
                    </w:rPr>
                  </w:pPr>
                  <w:r>
                    <w:rPr>
                      <w:rFonts w:hint="eastAsia"/>
                      <w:highlight w:val="none"/>
                    </w:rPr>
                    <w:t>竞争对手增多、市场需求平稳有上升趋势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rPr>
                      <w:highlight w:val="none"/>
                    </w:rPr>
                  </w:pPr>
                  <w:r>
                    <w:rPr>
                      <w:rFonts w:hint="eastAsia"/>
                      <w:highlight w:val="none"/>
                    </w:rPr>
                    <w:t>内部环境</w:t>
                  </w:r>
                </w:p>
              </w:tc>
              <w:tc>
                <w:tcPr>
                  <w:tcW w:w="6960" w:type="dxa"/>
                </w:tcPr>
                <w:p>
                  <w:pPr>
                    <w:rPr>
                      <w:highlight w:val="none"/>
                    </w:rPr>
                  </w:pPr>
                  <w:r>
                    <w:rPr>
                      <w:rFonts w:hint="eastAsia"/>
                      <w:highlight w:val="none"/>
                    </w:rPr>
                    <w:t xml:space="preserve">☑价值观  ☑文化  ☑知识 ☑绩效 ☑工艺 ☑设备 ☑人员能力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rPr>
                      <w:highlight w:val="none"/>
                    </w:rPr>
                  </w:pPr>
                  <w:r>
                    <w:rPr>
                      <w:rFonts w:hint="eastAsia"/>
                      <w:highlight w:val="none"/>
                    </w:rPr>
                    <w:t>列举主要的内容</w:t>
                  </w:r>
                </w:p>
              </w:tc>
              <w:tc>
                <w:tcPr>
                  <w:tcW w:w="6960" w:type="dxa"/>
                </w:tcPr>
                <w:p>
                  <w:pPr>
                    <w:rPr>
                      <w:rFonts w:hint="default" w:eastAsia="宋体"/>
                      <w:highlight w:val="none"/>
                      <w:lang w:val="en-US" w:eastAsia="zh-CN"/>
                    </w:rPr>
                  </w:pPr>
                  <w:r>
                    <w:rPr>
                      <w:rFonts w:hint="eastAsia"/>
                      <w:highlight w:val="none"/>
                      <w:lang w:val="en-US" w:eastAsia="zh-CN"/>
                    </w:rPr>
                    <w:t>每个岗位都配置了10年以上工龄的技术工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rPr>
                      <w:highlight w:val="none"/>
                    </w:rPr>
                  </w:pPr>
                  <w:r>
                    <w:rPr>
                      <w:rFonts w:hint="eastAsia"/>
                      <w:color w:val="000000"/>
                      <w:szCs w:val="21"/>
                      <w:highlight w:val="none"/>
                    </w:rPr>
                    <w:t>组织优势说明</w:t>
                  </w:r>
                </w:p>
              </w:tc>
              <w:tc>
                <w:tcPr>
                  <w:tcW w:w="6960" w:type="dxa"/>
                </w:tcPr>
                <w:p>
                  <w:pPr>
                    <w:rPr>
                      <w:rFonts w:hint="default" w:eastAsia="宋体"/>
                      <w:highlight w:val="none"/>
                      <w:lang w:val="en-US" w:eastAsia="zh-CN"/>
                    </w:rPr>
                  </w:pPr>
                  <w:r>
                    <w:rPr>
                      <w:rFonts w:hint="eastAsia"/>
                      <w:highlight w:val="none"/>
                      <w:lang w:val="en-US" w:eastAsia="zh-CN"/>
                    </w:rPr>
                    <w:t>参与政府的招标项目，本地企业，具有优势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rPr>
                      <w:highlight w:val="none"/>
                    </w:rPr>
                  </w:pPr>
                  <w:r>
                    <w:rPr>
                      <w:rFonts w:hint="eastAsia"/>
                      <w:color w:val="000000"/>
                      <w:szCs w:val="21"/>
                      <w:highlight w:val="none"/>
                    </w:rPr>
                    <w:t>组织劣势说明</w:t>
                  </w:r>
                </w:p>
              </w:tc>
              <w:tc>
                <w:tcPr>
                  <w:tcW w:w="6960" w:type="dxa"/>
                </w:tcPr>
                <w:p>
                  <w:pPr>
                    <w:rPr>
                      <w:rFonts w:hint="default" w:eastAsia="宋体"/>
                      <w:highlight w:val="none"/>
                      <w:lang w:val="en-US" w:eastAsia="zh-CN"/>
                    </w:rPr>
                  </w:pPr>
                  <w:r>
                    <w:rPr>
                      <w:rFonts w:hint="eastAsia"/>
                      <w:highlight w:val="none"/>
                      <w:lang w:val="en-US" w:eastAsia="zh-CN"/>
                    </w:rPr>
                    <w:t>设备自动化程度不高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rPr>
                      <w:highlight w:val="none"/>
                    </w:rPr>
                  </w:pPr>
                  <w:r>
                    <w:rPr>
                      <w:rFonts w:hint="eastAsia"/>
                      <w:color w:val="000000"/>
                      <w:szCs w:val="21"/>
                      <w:highlight w:val="none"/>
                    </w:rPr>
                    <w:t>主要风险的说明</w:t>
                  </w:r>
                </w:p>
              </w:tc>
              <w:tc>
                <w:tcPr>
                  <w:tcW w:w="6960" w:type="dxa"/>
                </w:tcPr>
                <w:p>
                  <w:pPr>
                    <w:rPr>
                      <w:rFonts w:hint="default" w:eastAsia="宋体"/>
                      <w:highlight w:val="none"/>
                      <w:lang w:val="en-US" w:eastAsia="zh-CN"/>
                    </w:rPr>
                  </w:pPr>
                  <w:r>
                    <w:rPr>
                      <w:rFonts w:hint="eastAsia"/>
                      <w:highlight w:val="none"/>
                      <w:lang w:val="en-US" w:eastAsia="zh-CN"/>
                    </w:rPr>
                    <w:t>生产过程安全风险的管控，包括人员、设备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rPr>
                      <w:highlight w:val="none"/>
                    </w:rPr>
                  </w:pPr>
                  <w:r>
                    <w:rPr>
                      <w:rFonts w:hint="eastAsia"/>
                      <w:color w:val="000000"/>
                      <w:szCs w:val="21"/>
                      <w:highlight w:val="none"/>
                    </w:rPr>
                    <w:t>机遇的说明</w:t>
                  </w:r>
                </w:p>
              </w:tc>
              <w:tc>
                <w:tcPr>
                  <w:tcW w:w="6960" w:type="dxa"/>
                </w:tcPr>
                <w:p>
                  <w:pPr>
                    <w:rPr>
                      <w:rFonts w:hint="default" w:eastAsia="宋体"/>
                      <w:highlight w:val="none"/>
                      <w:lang w:val="en-US" w:eastAsia="zh-CN"/>
                    </w:rPr>
                  </w:pPr>
                  <w:r>
                    <w:rPr>
                      <w:rFonts w:hint="eastAsia"/>
                      <w:highlight w:val="none"/>
                      <w:lang w:val="en-US" w:eastAsia="zh-CN"/>
                    </w:rPr>
                    <w:t>人民生活水平提高，对家具用品的质量、颜值、安全性要求升高，未组织的经营带来的机遇</w:t>
                  </w:r>
                </w:p>
              </w:tc>
            </w:tr>
          </w:tbl>
          <w:p>
            <w:pPr>
              <w:rPr>
                <w:color w:val="000000"/>
                <w:szCs w:val="21"/>
                <w:highlight w:val="none"/>
              </w:rPr>
            </w:pPr>
          </w:p>
          <w:p>
            <w:pPr>
              <w:rPr>
                <w:color w:val="000000"/>
                <w:szCs w:val="21"/>
                <w:highlight w:val="none"/>
              </w:rPr>
            </w:pPr>
            <w:r>
              <w:rPr>
                <w:rFonts w:hint="eastAsia"/>
                <w:color w:val="000000"/>
                <w:szCs w:val="21"/>
                <w:highlight w:val="none"/>
              </w:rPr>
              <w:t>主要证据体现在</w:t>
            </w:r>
            <w:r>
              <w:rPr>
                <w:rFonts w:hint="eastAsia"/>
                <w:highlight w:val="none"/>
              </w:rPr>
              <w:t xml:space="preserve"> </w:t>
            </w:r>
            <w:r>
              <w:rPr>
                <w:rFonts w:hint="eastAsia"/>
                <w:highlight w:val="none"/>
              </w:rPr>
              <w:sym w:font="Wingdings" w:char="00FE"/>
            </w:r>
            <w:r>
              <w:rPr>
                <w:rFonts w:hint="eastAsia"/>
                <w:highlight w:val="none"/>
              </w:rPr>
              <w:t xml:space="preserve">《组织及其环境分析表》  </w:t>
            </w:r>
            <w:r>
              <w:rPr>
                <w:rFonts w:hint="eastAsia"/>
                <w:highlight w:val="none"/>
              </w:rPr>
              <w:sym w:font="Wingdings" w:char="00A8"/>
            </w:r>
            <w:r>
              <w:rPr>
                <w:rFonts w:hint="eastAsia"/>
                <w:highlight w:val="none"/>
              </w:rPr>
              <w:t xml:space="preserve">《年度业务计划》 </w:t>
            </w:r>
            <w:r>
              <w:rPr>
                <w:rFonts w:hint="eastAsia"/>
                <w:highlight w:val="none"/>
              </w:rPr>
              <w:sym w:font="Wingdings" w:char="00A8"/>
            </w:r>
            <w:r>
              <w:rPr>
                <w:rFonts w:hint="eastAsia"/>
                <w:highlight w:val="none"/>
              </w:rPr>
              <w:t>其他</w:t>
            </w: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highlight w:val="none"/>
              </w:rPr>
            </w:pPr>
            <w:r>
              <w:rPr>
                <w:rFonts w:hint="eastAsia"/>
                <w:highlight w:val="none"/>
              </w:rPr>
              <w:t>理解相关方的需求和期望</w:t>
            </w:r>
          </w:p>
        </w:tc>
        <w:tc>
          <w:tcPr>
            <w:tcW w:w="960" w:type="dxa"/>
            <w:vMerge w:val="restart"/>
          </w:tcPr>
          <w:p>
            <w:pPr>
              <w:rPr>
                <w:highlight w:val="none"/>
              </w:rPr>
            </w:pPr>
            <w:r>
              <w:rPr>
                <w:rFonts w:hint="eastAsia"/>
                <w:highlight w:val="none"/>
              </w:rPr>
              <w:t xml:space="preserve">Q4.2 </w:t>
            </w:r>
          </w:p>
        </w:tc>
        <w:tc>
          <w:tcPr>
            <w:tcW w:w="745" w:type="dxa"/>
          </w:tcPr>
          <w:p>
            <w:pPr>
              <w:rPr>
                <w:highlight w:val="none"/>
              </w:rPr>
            </w:pPr>
            <w:r>
              <w:rPr>
                <w:rFonts w:hint="eastAsia"/>
                <w:highlight w:val="none"/>
              </w:rPr>
              <w:t>文件名称</w:t>
            </w:r>
          </w:p>
        </w:tc>
        <w:tc>
          <w:tcPr>
            <w:tcW w:w="9259" w:type="dxa"/>
          </w:tcPr>
          <w:p>
            <w:pPr>
              <w:rPr>
                <w:highlight w:val="none"/>
              </w:rPr>
            </w:pPr>
            <w:r>
              <w:rPr>
                <w:rFonts w:hint="eastAsia"/>
                <w:highlight w:val="none"/>
              </w:rPr>
              <w:t>如：</w:t>
            </w:r>
            <w:r>
              <w:rPr>
                <w:rFonts w:hint="eastAsia"/>
                <w:highlight w:val="none"/>
              </w:rPr>
              <w:sym w:font="Wingdings" w:char="00FE"/>
            </w:r>
            <w:r>
              <w:rPr>
                <w:rFonts w:hint="eastAsia"/>
                <w:highlight w:val="none"/>
              </w:rPr>
              <w:t>《组织环境与相关方要求管理程序》、</w:t>
            </w:r>
            <w:r>
              <w:rPr>
                <w:rFonts w:hint="eastAsia"/>
                <w:highlight w:val="none"/>
              </w:rPr>
              <w:sym w:font="Wingdings" w:char="00FE"/>
            </w:r>
            <w:r>
              <w:rPr>
                <w:rFonts w:hint="eastAsia"/>
                <w:highlight w:val="none"/>
              </w:rPr>
              <w:t>管理手册第4.2章</w:t>
            </w:r>
          </w:p>
        </w:tc>
        <w:tc>
          <w:tcPr>
            <w:tcW w:w="1585" w:type="dxa"/>
            <w:vMerge w:val="restart"/>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2" w:hRule="atLeast"/>
        </w:trPr>
        <w:tc>
          <w:tcPr>
            <w:tcW w:w="2160" w:type="dxa"/>
            <w:vMerge w:val="continue"/>
          </w:tcPr>
          <w:p>
            <w:pPr>
              <w:rPr>
                <w:highlight w:val="none"/>
              </w:rPr>
            </w:pPr>
          </w:p>
        </w:tc>
        <w:tc>
          <w:tcPr>
            <w:tcW w:w="960" w:type="dxa"/>
            <w:vMerge w:val="continue"/>
          </w:tcPr>
          <w:p>
            <w:pPr>
              <w:rPr>
                <w:highlight w:val="none"/>
              </w:rPr>
            </w:pPr>
          </w:p>
        </w:tc>
        <w:tc>
          <w:tcPr>
            <w:tcW w:w="745" w:type="dxa"/>
          </w:tcPr>
          <w:p>
            <w:pPr>
              <w:rPr>
                <w:highlight w:val="none"/>
              </w:rPr>
            </w:pPr>
            <w:r>
              <w:rPr>
                <w:rFonts w:hint="eastAsia"/>
                <w:highlight w:val="none"/>
              </w:rPr>
              <w:t>运行证据</w:t>
            </w:r>
          </w:p>
        </w:tc>
        <w:tc>
          <w:tcPr>
            <w:tcW w:w="9259" w:type="dxa"/>
          </w:tcPr>
          <w:p>
            <w:pPr>
              <w:rPr>
                <w:color w:val="000000"/>
                <w:szCs w:val="21"/>
                <w:highlight w:val="none"/>
              </w:rPr>
            </w:pPr>
            <w:r>
              <w:rPr>
                <w:rFonts w:hint="eastAsia"/>
                <w:color w:val="000000"/>
                <w:szCs w:val="21"/>
                <w:highlight w:val="none"/>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805"/>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重要的相关方</w:t>
                  </w:r>
                </w:p>
              </w:tc>
              <w:tc>
                <w:tcPr>
                  <w:tcW w:w="3805" w:type="dxa"/>
                </w:tcPr>
                <w:p>
                  <w:pPr>
                    <w:rPr>
                      <w:highlight w:val="none"/>
                    </w:rPr>
                  </w:pPr>
                  <w:r>
                    <w:rPr>
                      <w:rFonts w:hint="eastAsia"/>
                      <w:highlight w:val="none"/>
                    </w:rPr>
                    <w:t>相关方名称举例</w:t>
                  </w:r>
                </w:p>
              </w:tc>
              <w:tc>
                <w:tcPr>
                  <w:tcW w:w="3625" w:type="dxa"/>
                </w:tcPr>
                <w:p>
                  <w:pPr>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☑主管部门</w:t>
                  </w:r>
                </w:p>
              </w:tc>
              <w:tc>
                <w:tcPr>
                  <w:tcW w:w="3805" w:type="dxa"/>
                </w:tcPr>
                <w:p>
                  <w:pPr>
                    <w:rPr>
                      <w:rFonts w:hint="default" w:eastAsia="宋体"/>
                      <w:highlight w:val="none"/>
                      <w:lang w:val="en-US" w:eastAsia="zh-CN"/>
                    </w:rPr>
                  </w:pPr>
                  <w:r>
                    <w:rPr>
                      <w:rFonts w:hint="eastAsia"/>
                      <w:highlight w:val="none"/>
                    </w:rPr>
                    <w:t>如</w:t>
                  </w:r>
                  <w:r>
                    <w:rPr>
                      <w:rFonts w:hint="eastAsia"/>
                      <w:highlight w:val="none"/>
                      <w:lang w:eastAsia="zh-CN"/>
                    </w:rPr>
                    <w:t>：</w:t>
                  </w:r>
                  <w:r>
                    <w:rPr>
                      <w:rFonts w:hint="eastAsia"/>
                      <w:highlight w:val="none"/>
                      <w:lang w:val="en-US" w:eastAsia="zh-CN"/>
                    </w:rPr>
                    <w:t>昌吉市市场监督管理局</w:t>
                  </w:r>
                </w:p>
              </w:tc>
              <w:tc>
                <w:tcPr>
                  <w:tcW w:w="3625" w:type="dxa"/>
                </w:tcPr>
                <w:p>
                  <w:pPr>
                    <w:rPr>
                      <w:highlight w:val="none"/>
                    </w:rPr>
                  </w:pPr>
                  <w:r>
                    <w:rPr>
                      <w:rFonts w:hint="eastAsia"/>
                      <w:highlight w:val="none"/>
                    </w:rPr>
                    <w:t>☑遵守质量相关的法律法规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☑供方</w:t>
                  </w:r>
                </w:p>
              </w:tc>
              <w:tc>
                <w:tcPr>
                  <w:tcW w:w="3805" w:type="dxa"/>
                </w:tcPr>
                <w:p>
                  <w:pPr>
                    <w:rPr>
                      <w:rFonts w:hint="eastAsia" w:ascii="宋体" w:hAnsi="宋体" w:eastAsia="宋体" w:cs="宋体"/>
                      <w:b w:val="0"/>
                      <w:bCs w:val="0"/>
                      <w:sz w:val="21"/>
                      <w:szCs w:val="21"/>
                      <w:lang w:val="en-US"/>
                    </w:rPr>
                  </w:pPr>
                  <w:r>
                    <w:rPr>
                      <w:rFonts w:hint="eastAsia"/>
                      <w:highlight w:val="none"/>
                    </w:rPr>
                    <w:t>例如：</w:t>
                  </w:r>
                  <w:r>
                    <w:rPr>
                      <w:rFonts w:hint="eastAsia" w:ascii="宋体" w:hAnsi="宋体" w:eastAsia="宋体" w:cs="宋体"/>
                      <w:b w:val="0"/>
                      <w:bCs w:val="0"/>
                      <w:sz w:val="21"/>
                      <w:szCs w:val="21"/>
                      <w:lang w:val="en-US"/>
                    </w:rPr>
                    <w:t>新疆新高丽环保材料有限公司</w:t>
                  </w:r>
                </w:p>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新疆神州通管业</w:t>
                  </w:r>
                </w:p>
              </w:tc>
              <w:tc>
                <w:tcPr>
                  <w:tcW w:w="3625" w:type="dxa"/>
                </w:tcPr>
                <w:p>
                  <w:pPr>
                    <w:rPr>
                      <w:highlight w:val="none"/>
                    </w:rPr>
                  </w:pPr>
                  <w:r>
                    <w:rPr>
                      <w:rFonts w:hint="eastAsia"/>
                      <w:highlight w:val="none"/>
                    </w:rPr>
                    <w:t>☑组织的持续经营、明示采购要求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☑顾客</w:t>
                  </w:r>
                </w:p>
              </w:tc>
              <w:tc>
                <w:tcPr>
                  <w:tcW w:w="3805" w:type="dxa"/>
                </w:tcPr>
                <w:p>
                  <w:pPr>
                    <w:rPr>
                      <w:rFonts w:hint="eastAsia"/>
                      <w:highlight w:val="none"/>
                      <w:lang w:val="en-US" w:eastAsia="zh-CN"/>
                    </w:rPr>
                  </w:pPr>
                  <w:r>
                    <w:rPr>
                      <w:rFonts w:hint="eastAsia"/>
                      <w:highlight w:val="none"/>
                    </w:rPr>
                    <w:t>例如：</w:t>
                  </w:r>
                  <w:r>
                    <w:rPr>
                      <w:rFonts w:hint="eastAsia"/>
                      <w:highlight w:val="none"/>
                      <w:lang w:val="en-US" w:eastAsia="zh-CN"/>
                    </w:rPr>
                    <w:t>新疆农业职业技术学院</w:t>
                  </w:r>
                </w:p>
                <w:p>
                  <w:pPr>
                    <w:rPr>
                      <w:rFonts w:hint="default"/>
                      <w:highlight w:val="none"/>
                      <w:lang w:val="en-US" w:eastAsia="zh-CN"/>
                    </w:rPr>
                  </w:pPr>
                  <w:r>
                    <w:rPr>
                      <w:rFonts w:hint="eastAsia"/>
                      <w:highlight w:val="none"/>
                      <w:lang w:val="en-US" w:eastAsia="zh-CN"/>
                    </w:rPr>
                    <w:t>中国人民解放军93986部队</w:t>
                  </w:r>
                </w:p>
              </w:tc>
              <w:tc>
                <w:tcPr>
                  <w:tcW w:w="3625" w:type="dxa"/>
                </w:tcPr>
                <w:p>
                  <w:pPr>
                    <w:rPr>
                      <w:highlight w:val="none"/>
                    </w:rPr>
                  </w:pPr>
                  <w:r>
                    <w:rPr>
                      <w:rFonts w:hint="eastAsia"/>
                      <w:highlight w:val="none"/>
                    </w:rPr>
                    <w:t>☑按时按质按量交付产品或服务；</w:t>
                  </w:r>
                </w:p>
                <w:p>
                  <w:pPr>
                    <w:rPr>
                      <w:highlight w:val="none"/>
                    </w:rPr>
                  </w:pPr>
                  <w:r>
                    <w:rPr>
                      <w:rFonts w:hint="eastAsia"/>
                      <w:highlight w:val="none"/>
                    </w:rPr>
                    <w:t>☑产品/服务质量持续满足要求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□消费者</w:t>
                  </w:r>
                </w:p>
              </w:tc>
              <w:tc>
                <w:tcPr>
                  <w:tcW w:w="3805" w:type="dxa"/>
                </w:tcPr>
                <w:p>
                  <w:pPr>
                    <w:rPr>
                      <w:highlight w:val="none"/>
                    </w:rPr>
                  </w:pPr>
                  <w:r>
                    <w:rPr>
                      <w:rFonts w:hint="eastAsia"/>
                      <w:highlight w:val="none"/>
                    </w:rPr>
                    <w:t>——</w:t>
                  </w:r>
                </w:p>
              </w:tc>
              <w:tc>
                <w:tcPr>
                  <w:tcW w:w="3625" w:type="dxa"/>
                </w:tcPr>
                <w:p>
                  <w:pPr>
                    <w:rPr>
                      <w:highlight w:val="none"/>
                    </w:rPr>
                  </w:pPr>
                  <w:r>
                    <w:rPr>
                      <w:rFonts w:hint="eastAsia"/>
                      <w:highlight w:val="none"/>
                    </w:rPr>
                    <w:t>□良好的使用感受、持续经营</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highlight w:val="none"/>
                    </w:rPr>
                  </w:pPr>
                  <w:r>
                    <w:rPr>
                      <w:rFonts w:hint="eastAsia"/>
                      <w:highlight w:val="none"/>
                    </w:rPr>
                    <w:t>☑员工</w:t>
                  </w:r>
                </w:p>
              </w:tc>
              <w:tc>
                <w:tcPr>
                  <w:tcW w:w="3805" w:type="dxa"/>
                </w:tcPr>
                <w:p>
                  <w:pPr>
                    <w:rPr>
                      <w:szCs w:val="24"/>
                      <w:highlight w:val="none"/>
                    </w:rPr>
                  </w:pPr>
                  <w:r>
                    <w:rPr>
                      <w:rFonts w:hint="eastAsia"/>
                      <w:szCs w:val="24"/>
                      <w:highlight w:val="none"/>
                    </w:rPr>
                    <w:t>——</w:t>
                  </w:r>
                </w:p>
              </w:tc>
              <w:tc>
                <w:tcPr>
                  <w:tcW w:w="3625" w:type="dxa"/>
                </w:tcPr>
                <w:p>
                  <w:pPr>
                    <w:rPr>
                      <w:highlight w:val="none"/>
                    </w:rPr>
                  </w:pPr>
                  <w:r>
                    <w:rPr>
                      <w:rFonts w:hint="eastAsia"/>
                      <w:highlight w:val="none"/>
                    </w:rPr>
                    <w:t>☑组织的持续经营、自我发展</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☑投资方</w:t>
                  </w:r>
                </w:p>
              </w:tc>
              <w:tc>
                <w:tcPr>
                  <w:tcW w:w="3805" w:type="dxa"/>
                </w:tcPr>
                <w:p>
                  <w:pPr>
                    <w:rPr>
                      <w:rFonts w:hint="eastAsia" w:eastAsia="宋体"/>
                      <w:highlight w:val="none"/>
                      <w:lang w:eastAsia="zh-CN"/>
                    </w:rPr>
                  </w:pPr>
                  <w:r>
                    <w:rPr>
                      <w:rFonts w:hint="eastAsia"/>
                      <w:highlight w:val="none"/>
                      <w:lang w:eastAsia="zh-CN"/>
                    </w:rPr>
                    <w:t>——</w:t>
                  </w:r>
                </w:p>
              </w:tc>
              <w:tc>
                <w:tcPr>
                  <w:tcW w:w="3625" w:type="dxa"/>
                </w:tcPr>
                <w:p>
                  <w:pPr>
                    <w:rPr>
                      <w:highlight w:val="none"/>
                    </w:rPr>
                  </w:pPr>
                  <w:r>
                    <w:rPr>
                      <w:rFonts w:hint="eastAsia"/>
                      <w:highlight w:val="none"/>
                    </w:rPr>
                    <w:t>☑组织的持续经营、盈利</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□其他</w:t>
                  </w:r>
                </w:p>
              </w:tc>
              <w:tc>
                <w:tcPr>
                  <w:tcW w:w="3805" w:type="dxa"/>
                </w:tcPr>
                <w:p>
                  <w:pPr>
                    <w:rPr>
                      <w:highlight w:val="none"/>
                    </w:rPr>
                  </w:pPr>
                </w:p>
              </w:tc>
              <w:tc>
                <w:tcPr>
                  <w:tcW w:w="3625" w:type="dxa"/>
                </w:tcPr>
                <w:p>
                  <w:pPr>
                    <w:rPr>
                      <w:highlight w:val="none"/>
                    </w:rPr>
                  </w:pPr>
                </w:p>
              </w:tc>
            </w:tr>
          </w:tbl>
          <w:p>
            <w:pPr>
              <w:rPr>
                <w:color w:val="000000"/>
                <w:szCs w:val="21"/>
                <w:highlight w:val="none"/>
              </w:rPr>
            </w:pPr>
          </w:p>
          <w:p>
            <w:pPr>
              <w:rPr>
                <w:color w:val="000000"/>
                <w:szCs w:val="21"/>
                <w:highlight w:val="none"/>
              </w:rPr>
            </w:pPr>
            <w:r>
              <w:rPr>
                <w:rFonts w:hint="eastAsia"/>
                <w:color w:val="000000"/>
                <w:szCs w:val="21"/>
                <w:highlight w:val="none"/>
              </w:rPr>
              <w:t>主要证据体现在</w:t>
            </w:r>
            <w:r>
              <w:rPr>
                <w:rFonts w:hint="eastAsia"/>
                <w:highlight w:val="none"/>
              </w:rPr>
              <w:t xml:space="preserve"> </w:t>
            </w:r>
            <w:r>
              <w:rPr>
                <w:rFonts w:hint="eastAsia"/>
                <w:highlight w:val="none"/>
              </w:rPr>
              <w:sym w:font="Wingdings" w:char="00FE"/>
            </w:r>
            <w:r>
              <w:rPr>
                <w:rFonts w:hint="eastAsia"/>
                <w:highlight w:val="none"/>
              </w:rPr>
              <w:t xml:space="preserve">《相关方的需求和期望分析表》  </w:t>
            </w:r>
            <w:r>
              <w:rPr>
                <w:rFonts w:hint="eastAsia"/>
                <w:highlight w:val="none"/>
              </w:rPr>
              <w:sym w:font="Wingdings" w:char="00A8"/>
            </w:r>
            <w:r>
              <w:rPr>
                <w:rFonts w:hint="eastAsia"/>
                <w:highlight w:val="none"/>
              </w:rPr>
              <w:t xml:space="preserve">《年度业务计划》 </w:t>
            </w:r>
            <w:r>
              <w:rPr>
                <w:rFonts w:hint="eastAsia"/>
                <w:highlight w:val="none"/>
              </w:rPr>
              <w:sym w:font="Wingdings" w:char="00A8"/>
            </w:r>
            <w:r>
              <w:rPr>
                <w:rFonts w:hint="eastAsia"/>
                <w:highlight w:val="none"/>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shd w:val="clear" w:color="auto" w:fill="auto"/>
          </w:tcPr>
          <w:p>
            <w:r>
              <w:rPr>
                <w:rFonts w:hint="eastAsia"/>
              </w:rPr>
              <w:t>确定质量管理体系的范围</w:t>
            </w:r>
          </w:p>
        </w:tc>
        <w:tc>
          <w:tcPr>
            <w:tcW w:w="960" w:type="dxa"/>
            <w:vMerge w:val="restart"/>
            <w:shd w:val="clear" w:color="auto" w:fill="auto"/>
          </w:tcPr>
          <w:p>
            <w:r>
              <w:rPr>
                <w:rFonts w:hint="eastAsia"/>
              </w:rPr>
              <w:t>Q4.3</w:t>
            </w:r>
          </w:p>
        </w:tc>
        <w:tc>
          <w:tcPr>
            <w:tcW w:w="745" w:type="dxa"/>
            <w:shd w:val="clear" w:color="auto" w:fill="auto"/>
          </w:tcPr>
          <w:p>
            <w:r>
              <w:rPr>
                <w:rFonts w:hint="eastAsia"/>
              </w:rPr>
              <w:t>文件名称</w:t>
            </w:r>
          </w:p>
        </w:tc>
        <w:tc>
          <w:tcPr>
            <w:tcW w:w="9259" w:type="dxa"/>
            <w:shd w:val="clear" w:color="auto" w:fill="auto"/>
          </w:tcPr>
          <w:p>
            <w:r>
              <w:rPr>
                <w:rFonts w:hint="eastAsia"/>
              </w:rPr>
              <w:t>如：</w:t>
            </w:r>
            <w:r>
              <w:rPr>
                <w:rFonts w:hint="eastAsia"/>
              </w:rPr>
              <w:sym w:font="Wingdings" w:char="00FE"/>
            </w:r>
            <w:r>
              <w:rPr>
                <w:rFonts w:hint="eastAsia"/>
              </w:rPr>
              <w:t>管理手册第4.3章和</w:t>
            </w:r>
            <w:r>
              <w:rPr>
                <w:rFonts w:hint="eastAsia"/>
              </w:rPr>
              <w:sym w:font="Wingdings" w:char="00FE"/>
            </w:r>
            <w:r>
              <w:rPr>
                <w:rFonts w:hint="eastAsia"/>
              </w:rPr>
              <w:t>“公司介绍”</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组织应明确相关管理体系的范围；</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7132" w:type="dxa"/>
                </w:tcPr>
                <w:p>
                  <w:r>
                    <w:rPr>
                      <w:rFonts w:hint="eastAsia"/>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7132" w:type="dxa"/>
                </w:tcPr>
                <w:p>
                  <w:r>
                    <w:t>金属教学家具、金属办公家具、金属公寓家具的</w:t>
                  </w:r>
                  <w:r>
                    <w:rPr>
                      <w:rFonts w:hint="eastAsia"/>
                      <w:lang w:val="en-US" w:eastAsia="zh-CN"/>
                    </w:rPr>
                    <w:t>生产及</w:t>
                  </w:r>
                  <w:r>
                    <w:t>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注册地址</w:t>
                  </w:r>
                </w:p>
              </w:tc>
              <w:tc>
                <w:tcPr>
                  <w:tcW w:w="7132" w:type="dxa"/>
                </w:tcPr>
                <w:p>
                  <w:r>
                    <w:rPr>
                      <w:rFonts w:asciiTheme="minorEastAsia" w:hAnsiTheme="minorEastAsia" w:eastAsiaTheme="minorEastAsia"/>
                      <w:sz w:val="20"/>
                    </w:rPr>
                    <w:t>新疆昌吉州昌吉市六工镇下六工村一片区18号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w:t>
                  </w:r>
                </w:p>
              </w:tc>
              <w:tc>
                <w:tcPr>
                  <w:tcW w:w="7132" w:type="dxa"/>
                </w:tcPr>
                <w:p>
                  <w:bookmarkStart w:id="0" w:name="生产地址"/>
                  <w:r>
                    <w:rPr>
                      <w:rFonts w:asciiTheme="minorEastAsia" w:hAnsiTheme="minorEastAsia" w:eastAsiaTheme="minorEastAsia"/>
                      <w:sz w:val="20"/>
                    </w:rPr>
                    <w:t>新疆昌吉州昌吉市六工镇下六工村一片区18号</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7132"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7132" w:type="dxa"/>
                </w:tcPr>
                <w:p>
                  <w:r>
                    <w:rPr>
                      <w:rFonts w:hint="eastAsia"/>
                    </w:rPr>
                    <w:sym w:font="Wingdings" w:char="00FE"/>
                  </w:r>
                  <w:r>
                    <w:rPr>
                      <w:rFonts w:hint="eastAsia"/>
                    </w:rPr>
                    <w:t xml:space="preserve"> 体系建立以来</w:t>
                  </w:r>
                </w:p>
                <w:p>
                  <w:r>
                    <w:rPr>
                      <w:rFonts w:hint="eastAsia"/>
                    </w:rPr>
                    <w:sym w:font="Wingdings" w:char="00A8"/>
                  </w:r>
                  <w:r>
                    <w:rPr>
                      <w:rFonts w:hint="eastAsia"/>
                    </w:rPr>
                    <w:t>近一年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7132" w:type="dxa"/>
                </w:tcPr>
                <w:p>
                  <w:r>
                    <w:rPr>
                      <w:rFonts w:hint="eastAsia"/>
                    </w:rPr>
                    <w:sym w:font="Wingdings" w:char="00FE"/>
                  </w:r>
                  <w:r>
                    <w:rPr>
                      <w:rFonts w:hint="eastAsia"/>
                    </w:rPr>
                    <w:t>8.3产品和服务的设计和开发</w:t>
                  </w:r>
                </w:p>
                <w:p>
                  <w:r>
                    <w:rPr>
                      <w:rFonts w:hint="eastAsia"/>
                    </w:rPr>
                    <w:sym w:font="Wingdings" w:char="00A8"/>
                  </w:r>
                  <w:r>
                    <w:rPr>
                      <w:rFonts w:hint="eastAsia"/>
                    </w:rPr>
                    <w:t>无不适用条款</w:t>
                  </w:r>
                </w:p>
                <w:p>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不适用的理由（可多选）</w:t>
                  </w:r>
                </w:p>
              </w:tc>
              <w:tc>
                <w:tcPr>
                  <w:tcW w:w="7132" w:type="dxa"/>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pPr>
                    <w:rPr>
                      <w:rFonts w:hint="default" w:eastAsia="宋体"/>
                      <w:lang w:val="en-US" w:eastAsia="zh-CN"/>
                    </w:rPr>
                  </w:pPr>
                  <w:r>
                    <w:rPr>
                      <w:rFonts w:hint="eastAsia"/>
                    </w:rPr>
                    <w:sym w:font="Wingdings 2" w:char="0052"/>
                  </w:r>
                  <w:r>
                    <w:rPr>
                      <w:rFonts w:hint="eastAsia"/>
                    </w:rPr>
                    <w:t>其他：</w:t>
                  </w:r>
                  <w:r>
                    <w:rPr>
                      <w:rFonts w:hint="eastAsia"/>
                      <w:u w:val="single"/>
                    </w:rPr>
                    <w:t>公司所生产/销售的产品均按照产品相关标准和顾客要求生产/采购，生产/销售服务按照体系建立之前所策划好的生产/销售模式进行。不适用于8.3条款。不适用的要求不影响组织确保其产品和服务合格的能力或责任，对增强顾客满意也不会产生影响。</w:t>
                  </w:r>
                </w:p>
              </w:tc>
            </w:tr>
          </w:tbl>
          <w:p/>
          <w:p>
            <w:pPr>
              <w:rPr>
                <w:color w:val="000000"/>
                <w:szCs w:val="21"/>
              </w:rPr>
            </w:pPr>
            <w:r>
              <w:rPr>
                <w:rFonts w:hint="eastAsia"/>
                <w:color w:val="000000"/>
                <w:szCs w:val="21"/>
              </w:rPr>
              <w:t>在企业的管理手册中有描述。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shd w:val="clear" w:color="auto" w:fill="auto"/>
          </w:tcPr>
          <w:p>
            <w:r>
              <w:rPr>
                <w:rFonts w:hint="eastAsia"/>
              </w:rPr>
              <w:t>质量管理体系及其过程</w:t>
            </w:r>
          </w:p>
        </w:tc>
        <w:tc>
          <w:tcPr>
            <w:tcW w:w="960" w:type="dxa"/>
            <w:vMerge w:val="restart"/>
            <w:shd w:val="clear" w:color="auto" w:fill="auto"/>
          </w:tcPr>
          <w:p>
            <w:r>
              <w:rPr>
                <w:rFonts w:hint="eastAsia"/>
              </w:rPr>
              <w:t xml:space="preserve">Q4.4 </w:t>
            </w:r>
          </w:p>
        </w:tc>
        <w:tc>
          <w:tcPr>
            <w:tcW w:w="745" w:type="dxa"/>
            <w:shd w:val="clear" w:color="auto" w:fill="auto"/>
          </w:tcPr>
          <w:p>
            <w:r>
              <w:rPr>
                <w:rFonts w:hint="eastAsia"/>
              </w:rPr>
              <w:t>文件名称</w:t>
            </w:r>
          </w:p>
        </w:tc>
        <w:tc>
          <w:tcPr>
            <w:tcW w:w="9259" w:type="dxa"/>
            <w:shd w:val="clear" w:color="auto" w:fill="auto"/>
          </w:tcPr>
          <w:p>
            <w:r>
              <w:rPr>
                <w:rFonts w:hint="eastAsia"/>
              </w:rPr>
              <w:t>如：☑管理手册第4.4章和□《过程清单》</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☑市场拓展 ☑设备能力 ☑人员能力 </w:t>
            </w:r>
            <w:r>
              <w:rPr>
                <w:rFonts w:hint="eastAsia"/>
                <w:lang w:eastAsia="zh-CN"/>
              </w:rPr>
              <w:t>□</w:t>
            </w:r>
            <w:r>
              <w:rPr>
                <w:rFonts w:hint="eastAsia"/>
              </w:rPr>
              <w:t xml:space="preserve">检测水平☑合同评审 </w:t>
            </w:r>
            <w:r>
              <w:rPr>
                <w:rFonts w:hint="eastAsia"/>
                <w:lang w:eastAsia="zh-CN"/>
              </w:rPr>
              <w:t>□</w:t>
            </w:r>
            <w:r>
              <w:rPr>
                <w:rFonts w:hint="eastAsia"/>
              </w:rPr>
              <w:t xml:space="preserve">知识保密 </w:t>
            </w:r>
          </w:p>
          <w:p>
            <w:pPr>
              <w:spacing w:before="40" w:after="40"/>
            </w:pPr>
            <w:r>
              <w:rPr>
                <w:rFonts w:hint="eastAsia"/>
              </w:rPr>
              <w:t xml:space="preserve">□新产品设计开发 ☑原材料采购 </w:t>
            </w:r>
            <w:r>
              <w:rPr>
                <w:rFonts w:hint="eastAsia"/>
                <w:lang w:eastAsia="zh-CN"/>
              </w:rPr>
              <w:t>□</w:t>
            </w:r>
            <w:r>
              <w:rPr>
                <w:rFonts w:hint="eastAsia"/>
              </w:rPr>
              <w:t>外部供方控制 ☑生产/服务控制 □其他</w:t>
            </w:r>
          </w:p>
          <w:p>
            <w:pPr>
              <w:spacing w:before="40" w:after="40"/>
              <w:rPr>
                <w:b/>
                <w:bCs/>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□新产品设计开发 □原材料订制 □生产/服务过程 □检验检测 </w:t>
            </w:r>
            <w:r>
              <w:rPr>
                <w:rFonts w:hint="eastAsia"/>
                <w:lang w:eastAsia="zh-CN"/>
              </w:rPr>
              <w:sym w:font="Wingdings 2" w:char="0052"/>
            </w:r>
            <w:r>
              <w:rPr>
                <w:rFonts w:hint="eastAsia"/>
              </w:rPr>
              <w:t>产品运输 □设备维修</w:t>
            </w:r>
          </w:p>
          <w:p>
            <w:pPr>
              <w:spacing w:before="40" w:after="40"/>
            </w:pPr>
            <w:r>
              <w:rPr>
                <w:rFonts w:hint="eastAsia"/>
              </w:rPr>
              <w:t>□人员培训 □其他</w:t>
            </w:r>
          </w:p>
          <w:p>
            <w:pPr>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shd w:val="clear" w:color="auto" w:fill="auto"/>
          </w:tcPr>
          <w:p>
            <w:r>
              <w:rPr>
                <w:rFonts w:hint="eastAsia"/>
              </w:rPr>
              <w:t>领导作用与承诺</w:t>
            </w:r>
          </w:p>
        </w:tc>
        <w:tc>
          <w:tcPr>
            <w:tcW w:w="960" w:type="dxa"/>
            <w:vMerge w:val="restart"/>
            <w:shd w:val="clear" w:color="auto" w:fill="auto"/>
          </w:tcPr>
          <w:p>
            <w:r>
              <w:rPr>
                <w:rFonts w:hint="eastAsia"/>
              </w:rPr>
              <w:t>Q5.1</w:t>
            </w:r>
          </w:p>
        </w:tc>
        <w:tc>
          <w:tcPr>
            <w:tcW w:w="745" w:type="dxa"/>
            <w:shd w:val="clear" w:color="auto" w:fill="auto"/>
          </w:tcPr>
          <w:p>
            <w:r>
              <w:rPr>
                <w:rFonts w:hint="eastAsia"/>
              </w:rPr>
              <w:t>文件名称</w:t>
            </w:r>
          </w:p>
        </w:tc>
        <w:tc>
          <w:tcPr>
            <w:tcW w:w="9259" w:type="dxa"/>
            <w:shd w:val="clear" w:color="auto" w:fill="auto"/>
          </w:tcPr>
          <w:p>
            <w:r>
              <w:rPr>
                <w:rFonts w:hint="eastAsia"/>
              </w:rPr>
              <w:t>如：☑管理手册第5.1章和☑“总经理岗位职责”</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color w:val="000000"/>
                <w:szCs w:val="21"/>
              </w:rPr>
              <w:t xml:space="preserve">对质量管理体系的有效性承担责任； </w:t>
            </w:r>
          </w:p>
          <w:p>
            <w:pPr>
              <w:rPr>
                <w:color w:val="000000"/>
                <w:szCs w:val="21"/>
              </w:rPr>
            </w:pPr>
            <w:r>
              <w:rPr>
                <w:rFonts w:hint="eastAsia"/>
                <w:color w:val="000000"/>
                <w:szCs w:val="21"/>
              </w:rPr>
              <w:sym w:font="Wingdings" w:char="00FE"/>
            </w:r>
            <w:r>
              <w:rPr>
                <w:rFonts w:hint="eastAsia"/>
                <w:color w:val="000000"/>
                <w:szCs w:val="21"/>
              </w:rPr>
              <w:t xml:space="preserve">确保制定质量管理体系的质量方针和质量目标，并与组织的环境和战略方向相一致； </w:t>
            </w:r>
          </w:p>
          <w:p>
            <w:pPr>
              <w:rPr>
                <w:color w:val="000000"/>
                <w:szCs w:val="21"/>
              </w:rPr>
            </w:pPr>
            <w:r>
              <w:rPr>
                <w:rFonts w:hint="eastAsia"/>
                <w:color w:val="000000"/>
                <w:szCs w:val="21"/>
              </w:rPr>
              <w:sym w:font="Wingdings" w:char="00FE"/>
            </w:r>
            <w:r>
              <w:rPr>
                <w:rFonts w:hint="eastAsia"/>
                <w:color w:val="000000"/>
                <w:szCs w:val="21"/>
              </w:rPr>
              <w:t xml:space="preserve">确保质量管理体系要求融入组织的业务过程；  </w:t>
            </w:r>
          </w:p>
          <w:p>
            <w:pPr>
              <w:rPr>
                <w:color w:val="000000"/>
                <w:szCs w:val="21"/>
              </w:rPr>
            </w:pPr>
            <w:r>
              <w:rPr>
                <w:rFonts w:hint="eastAsia"/>
                <w:color w:val="000000"/>
                <w:szCs w:val="21"/>
              </w:rPr>
              <w:sym w:font="Wingdings" w:char="00FE"/>
            </w:r>
            <w:r>
              <w:rPr>
                <w:rFonts w:hint="eastAsia"/>
                <w:color w:val="000000"/>
                <w:szCs w:val="21"/>
              </w:rPr>
              <w:t xml:space="preserve">促进使用过程方法和基于风险的思维； </w:t>
            </w:r>
          </w:p>
          <w:p>
            <w:pPr>
              <w:rPr>
                <w:color w:val="000000"/>
                <w:szCs w:val="21"/>
              </w:rPr>
            </w:pPr>
            <w:r>
              <w:rPr>
                <w:rFonts w:hint="eastAsia"/>
                <w:color w:val="000000"/>
                <w:szCs w:val="21"/>
              </w:rPr>
              <w:sym w:font="Wingdings" w:char="00FE"/>
            </w:r>
            <w:r>
              <w:rPr>
                <w:rFonts w:hint="eastAsia"/>
                <w:color w:val="000000"/>
                <w:szCs w:val="21"/>
              </w:rPr>
              <w:t xml:space="preserve">确保质量管理体系所需的资源是可用的； </w:t>
            </w:r>
          </w:p>
          <w:p>
            <w:pPr>
              <w:rPr>
                <w:color w:val="000000"/>
                <w:szCs w:val="21"/>
              </w:rPr>
            </w:pPr>
            <w:r>
              <w:rPr>
                <w:rFonts w:hint="eastAsia"/>
                <w:color w:val="000000"/>
                <w:szCs w:val="21"/>
              </w:rPr>
              <w:sym w:font="Wingdings" w:char="00FE"/>
            </w:r>
            <w:r>
              <w:rPr>
                <w:rFonts w:hint="eastAsia"/>
                <w:color w:val="000000"/>
                <w:szCs w:val="21"/>
              </w:rPr>
              <w:t>沟通有效的质量管理和符合质量管理体系要求的重要性；</w:t>
            </w:r>
          </w:p>
          <w:p>
            <w:pPr>
              <w:rPr>
                <w:color w:val="000000"/>
                <w:szCs w:val="21"/>
              </w:rPr>
            </w:pPr>
            <w:r>
              <w:rPr>
                <w:rFonts w:hint="eastAsia"/>
                <w:color w:val="000000"/>
                <w:szCs w:val="21"/>
              </w:rPr>
              <w:sym w:font="Wingdings" w:char="00FE"/>
            </w:r>
            <w:r>
              <w:rPr>
                <w:rFonts w:hint="eastAsia"/>
                <w:color w:val="000000"/>
                <w:szCs w:val="21"/>
              </w:rPr>
              <w:t>确保质量管理体系实现其预期结果；</w:t>
            </w:r>
          </w:p>
          <w:p>
            <w:pPr>
              <w:rPr>
                <w:color w:val="000000"/>
                <w:szCs w:val="21"/>
              </w:rPr>
            </w:pPr>
            <w:r>
              <w:rPr>
                <w:rFonts w:hint="eastAsia"/>
                <w:color w:val="000000"/>
                <w:szCs w:val="21"/>
              </w:rPr>
              <w:sym w:font="Wingdings" w:char="00FE"/>
            </w:r>
            <w:r>
              <w:rPr>
                <w:rFonts w:hint="eastAsia"/>
                <w:color w:val="000000"/>
                <w:szCs w:val="21"/>
              </w:rPr>
              <w:t>促使员工积极参与、指导和支持他们为质量管理体系的有效性作出贡献；</w:t>
            </w:r>
          </w:p>
          <w:p>
            <w:pPr>
              <w:rPr>
                <w:color w:val="000000"/>
                <w:szCs w:val="21"/>
              </w:rPr>
            </w:pPr>
            <w:r>
              <w:rPr>
                <w:rFonts w:hint="eastAsia"/>
                <w:color w:val="000000"/>
                <w:szCs w:val="21"/>
              </w:rPr>
              <w:sym w:font="Wingdings" w:char="00FE"/>
            </w:r>
            <w:r>
              <w:rPr>
                <w:rFonts w:hint="eastAsia"/>
                <w:color w:val="000000"/>
                <w:szCs w:val="21"/>
              </w:rPr>
              <w:t>推动改进；</w:t>
            </w:r>
          </w:p>
          <w:p>
            <w:pPr>
              <w:rPr>
                <w:color w:val="000000"/>
                <w:szCs w:val="21"/>
              </w:rPr>
            </w:pPr>
            <w:r>
              <w:rPr>
                <w:rFonts w:hint="eastAsia"/>
                <w:color w:val="000000"/>
                <w:szCs w:val="21"/>
              </w:rPr>
              <w:sym w:font="Wingdings" w:char="00FE"/>
            </w:r>
            <w:r>
              <w:rPr>
                <w:rFonts w:hint="eastAsia"/>
                <w:color w:val="000000"/>
                <w:szCs w:val="21"/>
              </w:rPr>
              <w:t>支持其他相关管理者在其职责范围内发挥领导作用。</w:t>
            </w:r>
          </w:p>
          <w:p>
            <w:pPr>
              <w:rPr>
                <w:color w:val="000000"/>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shd w:val="clear" w:color="auto" w:fill="auto"/>
          </w:tcPr>
          <w:p>
            <w:r>
              <w:rPr>
                <w:rFonts w:hint="eastAsia"/>
              </w:rPr>
              <w:t>以顾客为关注焦点</w:t>
            </w:r>
          </w:p>
        </w:tc>
        <w:tc>
          <w:tcPr>
            <w:tcW w:w="960" w:type="dxa"/>
            <w:vMerge w:val="restart"/>
            <w:shd w:val="clear" w:color="auto" w:fill="auto"/>
          </w:tcPr>
          <w:p>
            <w:r>
              <w:rPr>
                <w:rFonts w:hint="eastAsia"/>
              </w:rPr>
              <w:t>Q5.1.2</w:t>
            </w:r>
          </w:p>
        </w:tc>
        <w:tc>
          <w:tcPr>
            <w:tcW w:w="745" w:type="dxa"/>
            <w:shd w:val="clear" w:color="auto" w:fill="auto"/>
          </w:tcPr>
          <w:p>
            <w:r>
              <w:rPr>
                <w:rFonts w:hint="eastAsia"/>
              </w:rPr>
              <w:t>文件名称</w:t>
            </w:r>
          </w:p>
        </w:tc>
        <w:tc>
          <w:tcPr>
            <w:tcW w:w="9259" w:type="dxa"/>
            <w:shd w:val="clear" w:color="auto" w:fill="auto"/>
          </w:tcPr>
          <w:p>
            <w:r>
              <w:rPr>
                <w:rFonts w:hint="eastAsia"/>
              </w:rPr>
              <w:t>如：☑管理手册第5.1章</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pPr>
              <w:rPr>
                <w:color w:val="000000"/>
                <w:szCs w:val="21"/>
              </w:rPr>
            </w:pPr>
            <w:r>
              <w:rPr>
                <w:rFonts w:hint="eastAsia"/>
                <w:color w:val="000000"/>
                <w:szCs w:val="21"/>
              </w:rPr>
              <w:t>最高管理者证实其以顾客为关注焦点的领导作用和承诺：</w:t>
            </w:r>
          </w:p>
          <w:p>
            <w:pPr>
              <w:rPr>
                <w:color w:val="000000"/>
                <w:szCs w:val="21"/>
              </w:rPr>
            </w:pPr>
            <w:r>
              <w:rPr>
                <w:rFonts w:hint="eastAsia"/>
              </w:rPr>
              <w:t>☑</w:t>
            </w:r>
            <w:r>
              <w:rPr>
                <w:rFonts w:hint="eastAsia"/>
                <w:color w:val="000000"/>
                <w:szCs w:val="21"/>
              </w:rPr>
              <w:t xml:space="preserve">确定、理解并持续地满足顾客要求以及适用的法律法规要求； </w:t>
            </w:r>
          </w:p>
          <w:p>
            <w:pPr>
              <w:rPr>
                <w:color w:val="000000"/>
                <w:szCs w:val="21"/>
              </w:rPr>
            </w:pPr>
            <w:r>
              <w:rPr>
                <w:rFonts w:hint="eastAsia"/>
              </w:rPr>
              <w:t>☑</w:t>
            </w:r>
            <w:r>
              <w:rPr>
                <w:rFonts w:hint="eastAsia"/>
                <w:color w:val="000000"/>
                <w:szCs w:val="21"/>
              </w:rPr>
              <w:t xml:space="preserve">确定和应对能够影响产品和服务的符合性以及增强顾客满意能力的风险和机遇； </w:t>
            </w:r>
          </w:p>
          <w:p>
            <w:pPr>
              <w:rPr>
                <w:color w:val="000000"/>
                <w:szCs w:val="21"/>
              </w:rPr>
            </w:pPr>
            <w:r>
              <w:rPr>
                <w:rFonts w:hint="eastAsia"/>
              </w:rPr>
              <w:t>☑</w:t>
            </w:r>
            <w:r>
              <w:rPr>
                <w:rFonts w:hint="eastAsia"/>
                <w:color w:val="000000"/>
                <w:szCs w:val="21"/>
              </w:rPr>
              <w:t>始终致力于增强顾客满意。</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t>☑以身作则 ☑建立机制 ☑法规宣传 ☑风险机遇的应对 ☑重视顾客反馈 ☑目标考核 □其他</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shd w:val="clear" w:color="auto" w:fill="auto"/>
          </w:tcPr>
          <w:p>
            <w:r>
              <w:rPr>
                <w:rFonts w:hint="eastAsia"/>
              </w:rPr>
              <w:t>方针</w:t>
            </w:r>
          </w:p>
        </w:tc>
        <w:tc>
          <w:tcPr>
            <w:tcW w:w="960" w:type="dxa"/>
            <w:vMerge w:val="restart"/>
            <w:shd w:val="clear" w:color="auto" w:fill="auto"/>
          </w:tcPr>
          <w:p>
            <w:r>
              <w:rPr>
                <w:rFonts w:hint="eastAsia"/>
              </w:rPr>
              <w:t>Q5.2</w:t>
            </w:r>
          </w:p>
        </w:tc>
        <w:tc>
          <w:tcPr>
            <w:tcW w:w="745" w:type="dxa"/>
            <w:shd w:val="clear" w:color="auto" w:fill="auto"/>
          </w:tcPr>
          <w:p>
            <w:r>
              <w:rPr>
                <w:rFonts w:hint="eastAsia"/>
              </w:rPr>
              <w:t>文件名称</w:t>
            </w:r>
          </w:p>
        </w:tc>
        <w:tc>
          <w:tcPr>
            <w:tcW w:w="9259" w:type="dxa"/>
            <w:shd w:val="clear" w:color="auto" w:fill="auto"/>
          </w:tcPr>
          <w:p>
            <w:r>
              <w:rPr>
                <w:rFonts w:hint="eastAsia"/>
              </w:rPr>
              <w:t>如：☑管理手册第5.2章 ☑质量方针</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pPr>
              <w:rPr>
                <w:u w:val="single"/>
              </w:rPr>
            </w:pPr>
            <w:r>
              <w:rPr>
                <w:rFonts w:hint="eastAsia"/>
                <w:color w:val="000000"/>
                <w:szCs w:val="21"/>
              </w:rPr>
              <w:t xml:space="preserve"> </w:t>
            </w:r>
            <w:r>
              <w:rPr>
                <w:rFonts w:hint="eastAsia"/>
              </w:rPr>
              <w:t>最高管理者制定了文件化的管理体系方针：</w:t>
            </w:r>
          </w:p>
          <w:p>
            <w:pPr>
              <w:ind w:left="480"/>
              <w:rPr>
                <w:u w:val="single"/>
              </w:rPr>
            </w:pPr>
            <w:r>
              <w:rPr>
                <w:rFonts w:hint="eastAsia"/>
                <w:u w:val="single"/>
              </w:rPr>
              <w:t xml:space="preserve">          顾客满意，质量第一                  </w:t>
            </w:r>
          </w:p>
          <w:p>
            <w:r>
              <w:rPr>
                <w:rFonts w:hint="eastAsia"/>
              </w:rPr>
              <w:t>☑适应组织的宗旨和环境并支持其战略方向</w:t>
            </w:r>
          </w:p>
          <w:p>
            <w:pPr>
              <w:rPr>
                <w:lang w:val="en-GB"/>
              </w:rPr>
            </w:pPr>
            <w:r>
              <w:rPr>
                <w:rFonts w:hint="eastAsia"/>
              </w:rPr>
              <w:t>☑</w:t>
            </w:r>
            <w:r>
              <w:rPr>
                <w:rFonts w:hint="eastAsia"/>
                <w:lang w:val="en-GB"/>
              </w:rPr>
              <w:t>质量方针合理恰当并为相应的质量目标提供了框架。</w:t>
            </w:r>
          </w:p>
          <w:p>
            <w:r>
              <w:rPr>
                <w:rFonts w:hint="eastAsia"/>
              </w:rPr>
              <w:t xml:space="preserve">☑包括满足适用要求的承诺； </w:t>
            </w:r>
          </w:p>
          <w:p>
            <w:pPr>
              <w:rPr>
                <w:lang w:val="en-GB"/>
              </w:rPr>
            </w:pPr>
            <w:r>
              <w:rPr>
                <w:rFonts w:hint="eastAsia"/>
              </w:rPr>
              <w:t>☑包括持续改进质量管理体系的承诺</w:t>
            </w:r>
          </w:p>
          <w:p/>
          <w:p>
            <w:r>
              <w:rPr>
                <w:rFonts w:hint="eastAsia"/>
              </w:rPr>
              <w:t>☑在组织内得到沟通、理解和应用，通过：</w:t>
            </w:r>
            <w:r>
              <w:rPr>
                <w:rFonts w:hint="eastAsia"/>
              </w:rPr>
              <w:sym w:font="Wingdings" w:char="00A8"/>
            </w:r>
            <w:r>
              <w:rPr>
                <w:rFonts w:hint="eastAsia"/>
              </w:rPr>
              <w:t xml:space="preserve">展板  </w:t>
            </w:r>
            <w:r>
              <w:rPr>
                <w:rFonts w:hint="eastAsia"/>
              </w:rPr>
              <w:sym w:font="Wingdings" w:char="00A8"/>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A8"/>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shd w:val="clear" w:color="auto" w:fill="auto"/>
          </w:tcPr>
          <w:p>
            <w:r>
              <w:rPr>
                <w:rFonts w:hint="eastAsia"/>
              </w:rPr>
              <w:t>组织的岗位、职责和权限</w:t>
            </w:r>
          </w:p>
          <w:p/>
        </w:tc>
        <w:tc>
          <w:tcPr>
            <w:tcW w:w="960" w:type="dxa"/>
            <w:vMerge w:val="restart"/>
            <w:shd w:val="clear" w:color="auto" w:fill="auto"/>
          </w:tcPr>
          <w:p>
            <w:r>
              <w:rPr>
                <w:rFonts w:hint="eastAsia"/>
              </w:rPr>
              <w:t>Q5.3</w:t>
            </w:r>
          </w:p>
        </w:tc>
        <w:tc>
          <w:tcPr>
            <w:tcW w:w="745" w:type="dxa"/>
            <w:shd w:val="clear" w:color="auto" w:fill="auto"/>
          </w:tcPr>
          <w:p>
            <w:r>
              <w:rPr>
                <w:rFonts w:hint="eastAsia"/>
              </w:rPr>
              <w:t>文件名称</w:t>
            </w:r>
          </w:p>
        </w:tc>
        <w:tc>
          <w:tcPr>
            <w:tcW w:w="9259" w:type="dxa"/>
            <w:shd w:val="clear" w:color="auto" w:fill="auto"/>
          </w:tcPr>
          <w:p>
            <w:r>
              <w:rPr>
                <w:rFonts w:hint="eastAsia"/>
              </w:rPr>
              <w:t>如：☑管理手册第5.3章</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最高管理者确定了组织架构及相关岗位的职责、权限，并进行了全员的沟通和理解；</w:t>
            </w:r>
          </w:p>
          <w:p>
            <w:r>
              <w:rPr>
                <w:rFonts w:hint="eastAsia"/>
              </w:rPr>
              <w:t>如：</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质量管理体系策划和推动</w:t>
                  </w:r>
                </w:p>
              </w:tc>
              <w:tc>
                <w:tcPr>
                  <w:tcW w:w="2261" w:type="dxa"/>
                </w:tcPr>
                <w:p>
                  <w:pPr>
                    <w:rPr>
                      <w:rFonts w:hint="eastAsia" w:eastAsia="宋体"/>
                      <w:lang w:val="en-US" w:eastAsia="zh-CN"/>
                    </w:rPr>
                  </w:pPr>
                  <w:r>
                    <w:rPr>
                      <w:rFonts w:hint="eastAsia"/>
                      <w:lang w:val="en-US" w:eastAsia="zh-CN"/>
                    </w:rPr>
                    <w:t>办公室</w:t>
                  </w:r>
                </w:p>
              </w:tc>
              <w:tc>
                <w:tcPr>
                  <w:tcW w:w="2261" w:type="dxa"/>
                </w:tcPr>
                <w:p>
                  <w:r>
                    <w:rPr>
                      <w:rFonts w:hint="eastAsia"/>
                    </w:rPr>
                    <w:t>生产/服务设计开发过程</w:t>
                  </w:r>
                </w:p>
              </w:tc>
              <w:tc>
                <w:tcPr>
                  <w:tcW w:w="2261"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顾客满意调查分析</w:t>
                  </w:r>
                </w:p>
              </w:tc>
              <w:tc>
                <w:tcPr>
                  <w:tcW w:w="2261" w:type="dxa"/>
                </w:tcPr>
                <w:p>
                  <w:pPr>
                    <w:rPr>
                      <w:rFonts w:hint="eastAsia" w:eastAsia="宋体"/>
                      <w:lang w:eastAsia="zh-CN"/>
                    </w:rPr>
                  </w:pPr>
                  <w:r>
                    <w:rPr>
                      <w:rFonts w:hint="eastAsia"/>
                      <w:lang w:val="en-US" w:eastAsia="zh-CN"/>
                    </w:rPr>
                    <w:t>业务部</w:t>
                  </w:r>
                </w:p>
              </w:tc>
              <w:tc>
                <w:tcPr>
                  <w:tcW w:w="2261" w:type="dxa"/>
                </w:tcPr>
                <w:p>
                  <w:r>
                    <w:rPr>
                      <w:rFonts w:hint="eastAsia"/>
                    </w:rPr>
                    <w:t>生产/服务提供过程</w:t>
                  </w:r>
                </w:p>
              </w:tc>
              <w:tc>
                <w:tcPr>
                  <w:tcW w:w="2261" w:type="dxa"/>
                </w:tcPr>
                <w:p>
                  <w:pPr>
                    <w:rPr>
                      <w:rFonts w:hint="eastAsia" w:eastAsia="宋体"/>
                      <w:lang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pPr>
                    <w:rPr>
                      <w:rFonts w:hint="eastAsia" w:eastAsia="宋体"/>
                      <w:lang w:eastAsia="zh-CN"/>
                    </w:rPr>
                  </w:pPr>
                  <w:r>
                    <w:rPr>
                      <w:rFonts w:hint="eastAsia"/>
                      <w:lang w:val="en-US" w:eastAsia="zh-CN"/>
                    </w:rPr>
                    <w:t>业务部</w:t>
                  </w:r>
                </w:p>
              </w:tc>
              <w:tc>
                <w:tcPr>
                  <w:tcW w:w="2261" w:type="dxa"/>
                </w:tcPr>
                <w:p>
                  <w:r>
                    <w:rPr>
                      <w:rFonts w:hint="eastAsia"/>
                    </w:rPr>
                    <w:t>生产/服务放行过程</w:t>
                  </w:r>
                </w:p>
              </w:tc>
              <w:tc>
                <w:tcPr>
                  <w:tcW w:w="2261" w:type="dxa"/>
                </w:tcPr>
                <w:p>
                  <w:pPr>
                    <w:rPr>
                      <w:rFonts w:hint="eastAsia" w:eastAsia="宋体"/>
                      <w:lang w:eastAsia="zh-CN"/>
                    </w:rPr>
                  </w:pPr>
                  <w:r>
                    <w:rPr>
                      <w:rFonts w:hint="eastAsia"/>
                      <w:lang w:val="en-US"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应对风险和机遇的措施</w:t>
            </w:r>
          </w:p>
          <w:p/>
        </w:tc>
        <w:tc>
          <w:tcPr>
            <w:tcW w:w="960" w:type="dxa"/>
            <w:vMerge w:val="restart"/>
          </w:tcPr>
          <w:p>
            <w:r>
              <w:rPr>
                <w:rFonts w:hint="eastAsia"/>
                <w:color w:val="000000"/>
                <w:szCs w:val="21"/>
              </w:rPr>
              <w:t>Q6.1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《风险和机遇的应对措施控制程序》、</w:t>
            </w:r>
            <w:r>
              <w:rPr>
                <w:rFonts w:hint="eastAsia"/>
              </w:rPr>
              <w:sym w:font="Wingdings" w:char="00FE"/>
            </w:r>
            <w:r>
              <w:rPr>
                <w:rFonts w:hint="eastAsia"/>
              </w:rPr>
              <w:t>管理手册第6.1条款</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highlight w:val="none"/>
              </w:rPr>
            </w:pPr>
            <w:r>
              <w:rPr>
                <w:rFonts w:hint="eastAsia"/>
              </w:rPr>
              <w:t>分</w:t>
            </w:r>
            <w:r>
              <w:rPr>
                <w:rFonts w:hint="eastAsia"/>
                <w:highlight w:val="none"/>
              </w:rPr>
              <w:t>析风险的方法：</w:t>
            </w:r>
            <w:r>
              <w:rPr>
                <w:rFonts w:hint="eastAsia"/>
                <w:highlight w:val="none"/>
              </w:rPr>
              <w:sym w:font="Wingdings" w:char="00FE"/>
            </w:r>
            <w:r>
              <w:rPr>
                <w:rFonts w:hint="eastAsia"/>
                <w:highlight w:val="none"/>
              </w:rPr>
              <w:t xml:space="preserve">头脑风暴法 </w:t>
            </w:r>
            <w:r>
              <w:rPr>
                <w:rFonts w:hint="eastAsia"/>
                <w:highlight w:val="none"/>
              </w:rPr>
              <w:sym w:font="Wingdings" w:char="00A8"/>
            </w:r>
            <w:r>
              <w:rPr>
                <w:rFonts w:hint="eastAsia"/>
                <w:highlight w:val="none"/>
              </w:rPr>
              <w:t>FMEA（潜在失效模式分析）</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应对风险的措施类型包括： </w:t>
            </w:r>
          </w:p>
          <w:p>
            <w:pPr>
              <w:rPr>
                <w:highlight w:val="none"/>
              </w:rPr>
            </w:pPr>
            <w:r>
              <w:rPr>
                <w:rFonts w:hint="eastAsia"/>
                <w:highlight w:val="none"/>
              </w:rPr>
              <w:sym w:font="Wingdings" w:char="00FE"/>
            </w:r>
            <w:r>
              <w:rPr>
                <w:rFonts w:hint="eastAsia"/>
                <w:highlight w:val="none"/>
              </w:rPr>
              <w:t xml:space="preserve">规避风险 </w:t>
            </w:r>
            <w:r>
              <w:rPr>
                <w:rFonts w:hint="eastAsia"/>
                <w:highlight w:val="none"/>
              </w:rPr>
              <w:sym w:font="Wingdings" w:char="00FE"/>
            </w:r>
            <w:r>
              <w:rPr>
                <w:rFonts w:hint="eastAsia"/>
                <w:highlight w:val="none"/>
              </w:rPr>
              <w:t>为寻求机遇承担风险、</w:t>
            </w:r>
            <w:r>
              <w:rPr>
                <w:rFonts w:hint="eastAsia"/>
                <w:highlight w:val="none"/>
              </w:rPr>
              <w:sym w:font="Wingdings" w:char="00FE"/>
            </w:r>
            <w:r>
              <w:rPr>
                <w:rFonts w:hint="eastAsia"/>
                <w:highlight w:val="none"/>
              </w:rPr>
              <w:t xml:space="preserve">消除风险源 </w:t>
            </w:r>
            <w:r>
              <w:rPr>
                <w:rFonts w:hint="eastAsia"/>
                <w:highlight w:val="none"/>
              </w:rPr>
              <w:sym w:font="Wingdings" w:char="00FE"/>
            </w:r>
            <w:r>
              <w:rPr>
                <w:rFonts w:hint="eastAsia"/>
                <w:highlight w:val="none"/>
              </w:rPr>
              <w:t>改变风险的可能性和后果、</w:t>
            </w:r>
            <w:r>
              <w:rPr>
                <w:rFonts w:hint="eastAsia"/>
                <w:highlight w:val="none"/>
              </w:rPr>
              <w:sym w:font="Wingdings" w:char="00FE"/>
            </w:r>
            <w:r>
              <w:rPr>
                <w:rFonts w:hint="eastAsia"/>
                <w:highlight w:val="none"/>
              </w:rPr>
              <w:t xml:space="preserve">分担风险 </w:t>
            </w:r>
            <w:r>
              <w:rPr>
                <w:rFonts w:hint="eastAsia"/>
                <w:highlight w:val="none"/>
              </w:rPr>
              <w:sym w:font="Wingdings" w:char="00FE"/>
            </w:r>
            <w:r>
              <w:rPr>
                <w:rFonts w:hint="eastAsia"/>
                <w:highlight w:val="none"/>
              </w:rPr>
              <w:t xml:space="preserve">通过信息充分的决策而保留风险 </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列举2~3项应对主要风险的描述：         </w:t>
            </w:r>
          </w:p>
          <w:tbl>
            <w:tblPr>
              <w:tblStyle w:val="6"/>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9"/>
              <w:gridCol w:w="41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49" w:type="dxa"/>
                </w:tcPr>
                <w:p>
                  <w:pPr>
                    <w:rPr>
                      <w:highlight w:val="none"/>
                    </w:rPr>
                  </w:pPr>
                  <w:r>
                    <w:rPr>
                      <w:rFonts w:hint="eastAsia"/>
                      <w:highlight w:val="none"/>
                    </w:rPr>
                    <w:t>主要的风险描述</w:t>
                  </w:r>
                </w:p>
              </w:tc>
              <w:tc>
                <w:tcPr>
                  <w:tcW w:w="4156"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tcPr>
                <w:p>
                  <w:pPr>
                    <w:rPr>
                      <w:rFonts w:hint="default" w:eastAsia="宋体"/>
                      <w:szCs w:val="24"/>
                      <w:highlight w:val="none"/>
                      <w:lang w:val="en-US" w:eastAsia="zh-CN"/>
                    </w:rPr>
                  </w:pPr>
                  <w:r>
                    <w:rPr>
                      <w:rFonts w:hint="eastAsia"/>
                      <w:szCs w:val="24"/>
                      <w:highlight w:val="none"/>
                    </w:rPr>
                    <w:t>计划制定不合理，导致无法按时完成计划任务，从而延误产品交付</w:t>
                  </w:r>
                  <w:r>
                    <w:rPr>
                      <w:rFonts w:hint="eastAsia"/>
                      <w:szCs w:val="24"/>
                      <w:highlight w:val="none"/>
                      <w:lang w:eastAsia="zh-CN"/>
                    </w:rPr>
                    <w:t>，</w:t>
                  </w:r>
                  <w:r>
                    <w:rPr>
                      <w:rFonts w:hint="eastAsia"/>
                      <w:szCs w:val="24"/>
                      <w:highlight w:val="none"/>
                      <w:lang w:val="en-US" w:eastAsia="zh-CN"/>
                    </w:rPr>
                    <w:t>导致赔付</w:t>
                  </w:r>
                </w:p>
              </w:tc>
              <w:tc>
                <w:tcPr>
                  <w:tcW w:w="4156" w:type="dxa"/>
                </w:tcPr>
                <w:p>
                  <w:pPr>
                    <w:rPr>
                      <w:rFonts w:hint="eastAsia"/>
                      <w:highlight w:val="none"/>
                      <w:lang w:eastAsia="zh-CN"/>
                    </w:rPr>
                  </w:pPr>
                  <w:r>
                    <w:rPr>
                      <w:rFonts w:hint="eastAsia"/>
                      <w:highlight w:val="none"/>
                    </w:rPr>
                    <w:t>1. 合理计算公司的实际产能</w:t>
                  </w:r>
                  <w:r>
                    <w:rPr>
                      <w:rFonts w:hint="eastAsia"/>
                      <w:highlight w:val="none"/>
                      <w:lang w:eastAsia="zh-CN"/>
                    </w:rPr>
                    <w:t>；</w:t>
                  </w:r>
                </w:p>
                <w:p>
                  <w:pPr>
                    <w:rPr>
                      <w:rFonts w:hint="eastAsia"/>
                      <w:highlight w:val="none"/>
                      <w:lang w:val="en-US" w:eastAsia="zh-CN"/>
                    </w:rPr>
                  </w:pPr>
                  <w:r>
                    <w:rPr>
                      <w:rFonts w:hint="eastAsia"/>
                      <w:highlight w:val="none"/>
                      <w:lang w:val="en-US" w:eastAsia="zh-CN"/>
                    </w:rPr>
                    <w:t>2.接单前确认生产任务及交付时间；</w:t>
                  </w:r>
                </w:p>
                <w:p>
                  <w:pPr>
                    <w:rPr>
                      <w:highlight w:val="none"/>
                    </w:rPr>
                  </w:pPr>
                  <w:r>
                    <w:rPr>
                      <w:rFonts w:hint="eastAsia"/>
                      <w:highlight w:val="none"/>
                    </w:rPr>
                    <w:t>相关文件： 《生产计划》</w:t>
                  </w:r>
                </w:p>
              </w:tc>
              <w:tc>
                <w:tcPr>
                  <w:tcW w:w="1717" w:type="dxa"/>
                </w:tcPr>
                <w:p>
                  <w:pPr>
                    <w:rPr>
                      <w:highlight w:val="none"/>
                    </w:rPr>
                  </w:pPr>
                  <w:r>
                    <w:rPr>
                      <w:rFonts w:hint="eastAsia"/>
                      <w:highlight w:val="none"/>
                    </w:rPr>
                    <w:sym w:font="Wingdings" w:char="00FE"/>
                  </w:r>
                  <w:r>
                    <w:rPr>
                      <w:rFonts w:hint="eastAsia"/>
                      <w:highlight w:val="none"/>
                    </w:rPr>
                    <w:t>有效</w:t>
                  </w:r>
                  <w:r>
                    <w:rPr>
                      <w:rFonts w:hint="eastAsia"/>
                      <w:highlight w:val="none"/>
                    </w:rPr>
                    <w:sym w:font="Wingdings" w:char="00A8"/>
                  </w:r>
                  <w:r>
                    <w:rPr>
                      <w:rFonts w:hint="eastAsia"/>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tcPr>
                <w:p>
                  <w:pPr>
                    <w:rPr>
                      <w:szCs w:val="24"/>
                      <w:highlight w:val="yellow"/>
                    </w:rPr>
                  </w:pPr>
                </w:p>
              </w:tc>
              <w:tc>
                <w:tcPr>
                  <w:tcW w:w="4156" w:type="dxa"/>
                </w:tcPr>
                <w:p>
                  <w:pPr>
                    <w:rPr>
                      <w:highlight w:val="yellow"/>
                    </w:rPr>
                  </w:pPr>
                </w:p>
              </w:tc>
              <w:tc>
                <w:tcPr>
                  <w:tcW w:w="1717" w:type="dxa"/>
                </w:tcPr>
                <w:p>
                  <w:pPr>
                    <w:rPr>
                      <w:highlight w:val="yellow"/>
                    </w:rPr>
                  </w:pPr>
                </w:p>
              </w:tc>
            </w:tr>
          </w:tbl>
          <w:p>
            <w:pPr>
              <w:rPr>
                <w:highlight w:val="yellow"/>
              </w:rPr>
            </w:pPr>
          </w:p>
          <w:p>
            <w:pPr>
              <w:rPr>
                <w:highlight w:val="none"/>
              </w:rPr>
            </w:pPr>
            <w:r>
              <w:rPr>
                <w:rFonts w:hint="eastAsia"/>
                <w:highlight w:val="none"/>
              </w:rPr>
              <w:t>应</w:t>
            </w:r>
            <w:r>
              <w:rPr>
                <w:rFonts w:hint="eastAsia"/>
                <w:highlight w:val="none"/>
              </w:rPr>
              <w:t xml:space="preserve">对机遇的措施类型包括： </w:t>
            </w:r>
          </w:p>
          <w:p>
            <w:pPr>
              <w:rPr>
                <w:highlight w:val="none"/>
              </w:rPr>
            </w:pPr>
            <w:r>
              <w:rPr>
                <w:rFonts w:hint="eastAsia"/>
                <w:highlight w:val="none"/>
              </w:rPr>
              <w:sym w:font="Wingdings" w:char="00FE"/>
            </w:r>
            <w:r>
              <w:rPr>
                <w:rFonts w:hint="eastAsia"/>
                <w:highlight w:val="none"/>
              </w:rPr>
              <w:t xml:space="preserve">采用新实践 </w:t>
            </w:r>
            <w:r>
              <w:rPr>
                <w:rFonts w:hint="eastAsia"/>
                <w:highlight w:val="none"/>
              </w:rPr>
              <w:sym w:font="Wingdings" w:char="00FE"/>
            </w:r>
            <w:r>
              <w:rPr>
                <w:rFonts w:hint="eastAsia"/>
                <w:highlight w:val="none"/>
              </w:rPr>
              <w:t xml:space="preserve">推出新产品  </w:t>
            </w:r>
            <w:r>
              <w:rPr>
                <w:rFonts w:hint="eastAsia"/>
                <w:highlight w:val="none"/>
              </w:rPr>
              <w:sym w:font="Wingdings" w:char="00FE"/>
            </w:r>
            <w:r>
              <w:rPr>
                <w:rFonts w:hint="eastAsia"/>
                <w:highlight w:val="none"/>
              </w:rPr>
              <w:t xml:space="preserve">开辟新市场  </w:t>
            </w:r>
            <w:r>
              <w:rPr>
                <w:rFonts w:hint="eastAsia"/>
                <w:highlight w:val="none"/>
              </w:rPr>
              <w:sym w:font="Wingdings" w:char="00FE"/>
            </w:r>
            <w:r>
              <w:rPr>
                <w:rFonts w:hint="eastAsia"/>
                <w:highlight w:val="none"/>
              </w:rPr>
              <w:t xml:space="preserve">赢得新顾客  </w:t>
            </w:r>
            <w:r>
              <w:rPr>
                <w:rFonts w:hint="eastAsia"/>
                <w:highlight w:val="none"/>
              </w:rPr>
              <w:sym w:font="Wingdings" w:char="00A8"/>
            </w:r>
            <w:r>
              <w:rPr>
                <w:rFonts w:hint="eastAsia"/>
                <w:highlight w:val="none"/>
              </w:rPr>
              <w:t xml:space="preserve">建立合作伙伴关系  </w:t>
            </w:r>
            <w:r>
              <w:rPr>
                <w:rFonts w:hint="eastAsia"/>
                <w:highlight w:val="none"/>
              </w:rPr>
              <w:sym w:font="Wingdings" w:char="00FE"/>
            </w:r>
            <w:r>
              <w:rPr>
                <w:rFonts w:hint="eastAsia"/>
                <w:highlight w:val="none"/>
              </w:rPr>
              <w:t xml:space="preserve">利用新技术  </w:t>
            </w:r>
            <w:r>
              <w:rPr>
                <w:rFonts w:hint="eastAsia"/>
                <w:highlight w:val="none"/>
              </w:rPr>
              <w:sym w:font="Wingdings" w:char="00A8"/>
            </w:r>
            <w:r>
              <w:rPr>
                <w:rFonts w:hint="eastAsia"/>
                <w:highlight w:val="none"/>
              </w:rPr>
              <w:t>其他</w:t>
            </w:r>
          </w:p>
          <w:p>
            <w:pPr>
              <w:rPr>
                <w:highlight w:val="none"/>
              </w:rPr>
            </w:pPr>
            <w:r>
              <w:rPr>
                <w:rFonts w:hint="eastAsia"/>
                <w:highlight w:val="none"/>
              </w:rPr>
              <w:t>列举2~3项应对重要机遇的描述：</w:t>
            </w:r>
          </w:p>
          <w:tbl>
            <w:tblPr>
              <w:tblStyle w:val="6"/>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367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highlight w:val="none"/>
                    </w:rPr>
                  </w:pPr>
                  <w:r>
                    <w:rPr>
                      <w:rFonts w:hint="eastAsia"/>
                      <w:highlight w:val="none"/>
                    </w:rPr>
                    <w:t>主要的机遇描述</w:t>
                  </w:r>
                </w:p>
              </w:tc>
              <w:tc>
                <w:tcPr>
                  <w:tcW w:w="3675"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rFonts w:hint="default" w:eastAsia="宋体"/>
                      <w:highlight w:val="none"/>
                      <w:lang w:val="en-US" w:eastAsia="zh-CN"/>
                    </w:rPr>
                  </w:pPr>
                  <w:r>
                    <w:rPr>
                      <w:rFonts w:hint="eastAsia"/>
                      <w:highlight w:val="none"/>
                      <w:lang w:val="en-US" w:eastAsia="zh-CN"/>
                    </w:rPr>
                    <w:t>目前</w:t>
                  </w:r>
                  <w:r>
                    <w:rPr>
                      <w:rFonts w:hint="eastAsia"/>
                      <w:highlight w:val="none"/>
                    </w:rPr>
                    <w:t>国家</w:t>
                  </w:r>
                  <w:r>
                    <w:rPr>
                      <w:rFonts w:hint="eastAsia"/>
                      <w:highlight w:val="none"/>
                      <w:lang w:val="en-US" w:eastAsia="zh-CN"/>
                    </w:rPr>
                    <w:t>对</w:t>
                  </w:r>
                  <w:r>
                    <w:rPr>
                      <w:rFonts w:hint="eastAsia"/>
                      <w:highlight w:val="none"/>
                    </w:rPr>
                    <w:t>环保</w:t>
                  </w:r>
                  <w:r>
                    <w:rPr>
                      <w:rFonts w:hint="eastAsia"/>
                      <w:highlight w:val="none"/>
                      <w:lang w:val="en-US" w:eastAsia="zh-CN"/>
                    </w:rPr>
                    <w:t>的</w:t>
                  </w:r>
                  <w:r>
                    <w:rPr>
                      <w:rFonts w:hint="eastAsia"/>
                      <w:highlight w:val="none"/>
                    </w:rPr>
                    <w:t>要求不断提高，</w:t>
                  </w:r>
                  <w:r>
                    <w:rPr>
                      <w:rFonts w:hint="eastAsia"/>
                      <w:highlight w:val="none"/>
                      <w:lang w:val="en-US" w:eastAsia="zh-CN"/>
                    </w:rPr>
                    <w:t>给中小企业带来了巨大压力，面临淘汰风险</w:t>
                  </w:r>
                </w:p>
              </w:tc>
              <w:tc>
                <w:tcPr>
                  <w:tcW w:w="3675" w:type="dxa"/>
                </w:tcPr>
                <w:p>
                  <w:pPr>
                    <w:numPr>
                      <w:ilvl w:val="0"/>
                      <w:numId w:val="1"/>
                    </w:numPr>
                    <w:rPr>
                      <w:rFonts w:hint="eastAsia"/>
                      <w:highlight w:val="none"/>
                      <w:lang w:val="en-US" w:eastAsia="zh-CN"/>
                    </w:rPr>
                  </w:pPr>
                  <w:r>
                    <w:rPr>
                      <w:rFonts w:hint="eastAsia"/>
                      <w:highlight w:val="none"/>
                      <w:lang w:val="en-US" w:eastAsia="zh-CN"/>
                    </w:rPr>
                    <w:t>加强环保设备，比如除尘器等；</w:t>
                  </w:r>
                </w:p>
                <w:p>
                  <w:pPr>
                    <w:numPr>
                      <w:ilvl w:val="0"/>
                      <w:numId w:val="1"/>
                    </w:numPr>
                    <w:ind w:left="0" w:leftChars="0" w:firstLine="0" w:firstLineChars="0"/>
                    <w:rPr>
                      <w:rFonts w:hint="default"/>
                      <w:highlight w:val="none"/>
                      <w:lang w:val="en-US" w:eastAsia="zh-CN"/>
                    </w:rPr>
                  </w:pPr>
                  <w:r>
                    <w:rPr>
                      <w:rFonts w:hint="eastAsia"/>
                      <w:highlight w:val="none"/>
                      <w:lang w:val="en-US" w:eastAsia="zh-CN"/>
                    </w:rPr>
                    <w:t>更新换代生产设备，降低对环境污染的影响，提高生产</w:t>
                  </w:r>
                </w:p>
              </w:tc>
              <w:tc>
                <w:tcPr>
                  <w:tcW w:w="1717" w:type="dxa"/>
                </w:tcPr>
                <w:p>
                  <w:pPr>
                    <w:rPr>
                      <w:highlight w:val="none"/>
                    </w:rPr>
                  </w:pPr>
                  <w:r>
                    <w:rPr>
                      <w:rFonts w:hint="eastAsia"/>
                      <w:highlight w:val="none"/>
                    </w:rPr>
                    <w:sym w:font="Wingdings" w:char="00FE"/>
                  </w:r>
                  <w:r>
                    <w:rPr>
                      <w:rFonts w:hint="eastAsia"/>
                      <w:highlight w:val="none"/>
                    </w:rPr>
                    <w:t>有效</w:t>
                  </w:r>
                  <w:r>
                    <w:rPr>
                      <w:rFonts w:hint="eastAsia"/>
                      <w:highlight w:val="none"/>
                    </w:rPr>
                    <w:sym w:font="Wingdings" w:char="00A8"/>
                  </w:r>
                  <w:r>
                    <w:rPr>
                      <w:rFonts w:hint="eastAsia"/>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szCs w:val="24"/>
                      <w:highlight w:val="none"/>
                    </w:rPr>
                  </w:pPr>
                </w:p>
              </w:tc>
              <w:tc>
                <w:tcPr>
                  <w:tcW w:w="3675" w:type="dxa"/>
                </w:tcPr>
                <w:p>
                  <w:pPr>
                    <w:rPr>
                      <w:highlight w:val="none"/>
                    </w:rPr>
                  </w:pPr>
                </w:p>
              </w:tc>
              <w:tc>
                <w:tcPr>
                  <w:tcW w:w="1717" w:type="dxa"/>
                </w:tcPr>
                <w:p>
                  <w:pPr>
                    <w:rPr>
                      <w:highlight w:val="none"/>
                    </w:rPr>
                  </w:pPr>
                  <w:r>
                    <w:rPr>
                      <w:rFonts w:hint="eastAsia"/>
                      <w:highlight w:val="none"/>
                    </w:rPr>
                    <w:sym w:font="Wingdings" w:char="00A8"/>
                  </w:r>
                  <w:r>
                    <w:rPr>
                      <w:rFonts w:hint="eastAsia"/>
                      <w:highlight w:val="none"/>
                    </w:rPr>
                    <w:t>有效</w:t>
                  </w:r>
                  <w:r>
                    <w:rPr>
                      <w:rFonts w:hint="eastAsia"/>
                      <w:highlight w:val="none"/>
                    </w:rPr>
                    <w:sym w:font="Wingdings" w:char="00A8"/>
                  </w:r>
                  <w:r>
                    <w:rPr>
                      <w:rFonts w:hint="eastAsia"/>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szCs w:val="24"/>
                      <w:highlight w:val="none"/>
                    </w:rPr>
                  </w:pPr>
                </w:p>
              </w:tc>
              <w:tc>
                <w:tcPr>
                  <w:tcW w:w="3675" w:type="dxa"/>
                </w:tcPr>
                <w:p>
                  <w:pPr>
                    <w:rPr>
                      <w:highlight w:val="none"/>
                    </w:rPr>
                  </w:pPr>
                </w:p>
              </w:tc>
              <w:tc>
                <w:tcPr>
                  <w:tcW w:w="1717" w:type="dxa"/>
                </w:tcPr>
                <w:p>
                  <w:pPr>
                    <w:rPr>
                      <w:highlight w:val="none"/>
                    </w:rPr>
                  </w:pPr>
                  <w:r>
                    <w:rPr>
                      <w:rFonts w:hint="eastAsia"/>
                      <w:highlight w:val="none"/>
                    </w:rPr>
                    <w:sym w:font="Wingdings" w:char="00A8"/>
                  </w:r>
                  <w:r>
                    <w:rPr>
                      <w:rFonts w:hint="eastAsia"/>
                      <w:highlight w:val="none"/>
                    </w:rPr>
                    <w:t>有效</w:t>
                  </w:r>
                  <w:r>
                    <w:rPr>
                      <w:rFonts w:hint="eastAsia"/>
                      <w:highlight w:val="none"/>
                    </w:rPr>
                    <w:sym w:font="Wingdings" w:char="00A8"/>
                  </w:r>
                  <w:r>
                    <w:rPr>
                      <w:rFonts w:hint="eastAsia"/>
                      <w:highlight w:val="none"/>
                    </w:rPr>
                    <w:t>不足</w:t>
                  </w:r>
                </w:p>
              </w:tc>
            </w:tr>
          </w:tbl>
          <w:p>
            <w:pPr>
              <w:rPr>
                <w:highlight w:val="none"/>
              </w:rPr>
            </w:pPr>
          </w:p>
          <w:p>
            <w:r>
              <w:rPr>
                <w:rFonts w:hint="eastAsia"/>
              </w:rPr>
              <w:t>查看</w:t>
            </w:r>
            <w:r>
              <w:rPr>
                <w:rFonts w:hint="eastAsia"/>
              </w:rPr>
              <w:sym w:font="Wingdings" w:char="00FE"/>
            </w:r>
            <w:r>
              <w:rPr>
                <w:rFonts w:hint="eastAsia"/>
              </w:rPr>
              <w:t>《风险和机遇评估分析表》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质量目标及其实现的策划</w:t>
            </w:r>
          </w:p>
          <w:p/>
        </w:tc>
        <w:tc>
          <w:tcPr>
            <w:tcW w:w="960" w:type="dxa"/>
            <w:vMerge w:val="restart"/>
          </w:tcPr>
          <w:p>
            <w:r>
              <w:rPr>
                <w:rFonts w:hint="eastAsia"/>
                <w:color w:val="000000"/>
                <w:szCs w:val="21"/>
              </w:rPr>
              <w:t>Q6.2</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w:t>
            </w:r>
            <w:r>
              <w:rPr>
                <w:rFonts w:hint="eastAsia"/>
                <w:color w:val="000000"/>
                <w:szCs w:val="21"/>
              </w:rPr>
              <w:t>质量目标</w:t>
            </w:r>
            <w:r>
              <w:rPr>
                <w:rFonts w:hint="eastAsia"/>
              </w:rPr>
              <w:t>》、</w:t>
            </w:r>
            <w:r>
              <w:rPr>
                <w:rFonts w:hint="eastAsia"/>
              </w:rPr>
              <w:sym w:font="Wingdings" w:char="00A8"/>
            </w:r>
            <w:r>
              <w:rPr>
                <w:rFonts w:hint="eastAsia"/>
              </w:rPr>
              <w:t>《分解目标》</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组织建立了与方针一致的文件化的管理目标。为实现总质量目标而建立的各层级质量目标具体、有针对性、可测量并且可实现。</w:t>
            </w:r>
          </w:p>
          <w:p>
            <w:r>
              <w:rPr>
                <w:rFonts w:hint="eastAsia"/>
              </w:rPr>
              <w:t>总质量目标实现情况的评价，及其测量方法是：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913"/>
              <w:gridCol w:w="2509"/>
              <w:gridCol w:w="1064"/>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szCs w:val="24"/>
                    </w:rPr>
                  </w:pPr>
                  <w:r>
                    <w:rPr>
                      <w:rFonts w:hint="eastAsia" w:ascii="宋体" w:hAnsi="宋体"/>
                      <w:szCs w:val="24"/>
                    </w:rPr>
                    <w:t>质量目标</w:t>
                  </w:r>
                </w:p>
              </w:tc>
              <w:tc>
                <w:tcPr>
                  <w:tcW w:w="913" w:type="dxa"/>
                  <w:shd w:val="clear" w:color="auto" w:fill="auto"/>
                </w:tcPr>
                <w:p>
                  <w:pPr>
                    <w:rPr>
                      <w:rFonts w:ascii="宋体" w:hAnsi="宋体"/>
                      <w:szCs w:val="24"/>
                    </w:rPr>
                  </w:pPr>
                  <w:r>
                    <w:rPr>
                      <w:rFonts w:hint="eastAsia" w:ascii="宋体" w:hAnsi="宋体"/>
                      <w:szCs w:val="24"/>
                    </w:rPr>
                    <w:t>目标值</w:t>
                  </w:r>
                </w:p>
              </w:tc>
              <w:tc>
                <w:tcPr>
                  <w:tcW w:w="2509" w:type="dxa"/>
                  <w:shd w:val="clear" w:color="auto" w:fill="auto"/>
                </w:tcPr>
                <w:p>
                  <w:pPr>
                    <w:rPr>
                      <w:rFonts w:ascii="宋体" w:hAnsi="宋体"/>
                      <w:szCs w:val="24"/>
                    </w:rPr>
                  </w:pPr>
                  <w:r>
                    <w:rPr>
                      <w:rFonts w:hint="eastAsia" w:ascii="宋体" w:hAnsi="宋体"/>
                      <w:szCs w:val="24"/>
                    </w:rPr>
                    <w:t>计算方法</w:t>
                  </w:r>
                </w:p>
              </w:tc>
              <w:tc>
                <w:tcPr>
                  <w:tcW w:w="1064" w:type="dxa"/>
                  <w:shd w:val="clear" w:color="auto" w:fill="auto"/>
                </w:tcPr>
                <w:p>
                  <w:pPr>
                    <w:rPr>
                      <w:rFonts w:ascii="宋体" w:hAnsi="宋体"/>
                      <w:szCs w:val="24"/>
                    </w:rPr>
                  </w:pPr>
                  <w:r>
                    <w:rPr>
                      <w:rFonts w:hint="eastAsia" w:ascii="宋体" w:hAnsi="宋体"/>
                      <w:szCs w:val="24"/>
                    </w:rPr>
                    <w:t>统计频次</w:t>
                  </w:r>
                </w:p>
              </w:tc>
              <w:tc>
                <w:tcPr>
                  <w:tcW w:w="2350" w:type="dxa"/>
                  <w:shd w:val="clear" w:color="auto" w:fill="auto"/>
                </w:tcPr>
                <w:p>
                  <w:pPr>
                    <w:rPr>
                      <w:rFonts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rPr>
                    <w:t>成品一次交验合格率</w:t>
                  </w:r>
                </w:p>
              </w:tc>
              <w:tc>
                <w:tcPr>
                  <w:tcW w:w="913" w:type="dxa"/>
                  <w:shd w:val="clear" w:color="auto" w:fill="auto"/>
                  <w:vAlign w:val="center"/>
                </w:tcPr>
                <w:p>
                  <w:r>
                    <w:rPr>
                      <w:rFonts w:hint="eastAsia"/>
                    </w:rPr>
                    <w:t>≥98%</w:t>
                  </w:r>
                </w:p>
              </w:tc>
              <w:tc>
                <w:tcPr>
                  <w:tcW w:w="2509" w:type="dxa"/>
                  <w:shd w:val="clear" w:color="auto" w:fill="auto"/>
                  <w:vAlign w:val="center"/>
                </w:tcPr>
                <w:p>
                  <w:pPr>
                    <w:rPr>
                      <w:szCs w:val="24"/>
                    </w:rPr>
                  </w:pPr>
                  <w:r>
                    <w:rPr>
                      <w:rFonts w:hint="eastAsia"/>
                      <w:szCs w:val="24"/>
                    </w:rPr>
                    <w:t>成品一次交验合格数/成品交验总数×100%</w:t>
                  </w:r>
                </w:p>
              </w:tc>
              <w:tc>
                <w:tcPr>
                  <w:tcW w:w="1064" w:type="dxa"/>
                  <w:shd w:val="clear" w:color="auto" w:fill="auto"/>
                  <w:vAlign w:val="center"/>
                </w:tcPr>
                <w:p>
                  <w:pPr>
                    <w:rPr>
                      <w:szCs w:val="24"/>
                    </w:rPr>
                  </w:pPr>
                  <w:r>
                    <w:rPr>
                      <w:rFonts w:hint="eastAsia"/>
                      <w:szCs w:val="24"/>
                    </w:rPr>
                    <w:t>每月</w:t>
                  </w:r>
                </w:p>
              </w:tc>
              <w:tc>
                <w:tcPr>
                  <w:tcW w:w="2350" w:type="dxa"/>
                  <w:shd w:val="clear" w:color="auto" w:fill="auto"/>
                </w:tcPr>
                <w:p>
                  <w:pPr>
                    <w:rPr>
                      <w:rFonts w:hint="default" w:eastAsia="宋体"/>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rPr>
                    <w:t>及时交付率</w:t>
                  </w:r>
                </w:p>
              </w:tc>
              <w:tc>
                <w:tcPr>
                  <w:tcW w:w="913" w:type="dxa"/>
                  <w:shd w:val="clear" w:color="auto" w:fill="auto"/>
                  <w:vAlign w:val="center"/>
                </w:tcPr>
                <w:p>
                  <w:r>
                    <w:rPr>
                      <w:rFonts w:hint="eastAsia"/>
                    </w:rPr>
                    <w:t>100%</w:t>
                  </w:r>
                </w:p>
              </w:tc>
              <w:tc>
                <w:tcPr>
                  <w:tcW w:w="2509" w:type="dxa"/>
                  <w:shd w:val="clear" w:color="auto" w:fill="auto"/>
                  <w:vAlign w:val="center"/>
                </w:tcPr>
                <w:p>
                  <w:pPr>
                    <w:rPr>
                      <w:rFonts w:ascii="宋体" w:hAnsi="宋体"/>
                      <w:szCs w:val="24"/>
                      <w:highlight w:val="cyan"/>
                    </w:rPr>
                  </w:pPr>
                  <w:r>
                    <w:rPr>
                      <w:rFonts w:hint="eastAsia" w:ascii="宋体" w:hAnsi="宋体"/>
                      <w:szCs w:val="24"/>
                    </w:rPr>
                    <w:t xml:space="preserve">按期交付次数/应按期交付总数×100% </w:t>
                  </w:r>
                </w:p>
              </w:tc>
              <w:tc>
                <w:tcPr>
                  <w:tcW w:w="1064" w:type="dxa"/>
                  <w:shd w:val="clear" w:color="auto" w:fill="auto"/>
                  <w:vAlign w:val="center"/>
                </w:tcPr>
                <w:p>
                  <w:pPr>
                    <w:rPr>
                      <w:szCs w:val="24"/>
                    </w:rPr>
                  </w:pPr>
                  <w:r>
                    <w:rPr>
                      <w:rFonts w:hint="eastAsia"/>
                      <w:szCs w:val="24"/>
                    </w:rPr>
                    <w:t>每月</w:t>
                  </w:r>
                </w:p>
              </w:tc>
              <w:tc>
                <w:tcPr>
                  <w:tcW w:w="2350" w:type="dxa"/>
                  <w:shd w:val="clear" w:color="auto" w:fill="auto"/>
                </w:tcPr>
                <w:p>
                  <w:pPr>
                    <w:rPr>
                      <w:rFonts w:hint="eastAsia" w:eastAsia="宋体"/>
                      <w:lang w:val="en-GB"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rPr>
                    <w:t>顾客满意度</w:t>
                  </w:r>
                </w:p>
              </w:tc>
              <w:tc>
                <w:tcPr>
                  <w:tcW w:w="913" w:type="dxa"/>
                  <w:shd w:val="clear" w:color="auto" w:fill="auto"/>
                  <w:vAlign w:val="center"/>
                </w:tcPr>
                <w:p>
                  <w:r>
                    <w:rPr>
                      <w:rFonts w:hint="eastAsia"/>
                    </w:rPr>
                    <w:t>≥85分</w:t>
                  </w:r>
                </w:p>
              </w:tc>
              <w:tc>
                <w:tcPr>
                  <w:tcW w:w="2509" w:type="dxa"/>
                  <w:shd w:val="clear" w:color="auto" w:fill="auto"/>
                  <w:vAlign w:val="center"/>
                </w:tcPr>
                <w:p>
                  <w:pPr>
                    <w:rPr>
                      <w:rFonts w:ascii="宋体" w:hAnsi="宋体"/>
                      <w:szCs w:val="24"/>
                    </w:rPr>
                  </w:pPr>
                  <w:r>
                    <w:rPr>
                      <w:rFonts w:hint="eastAsia" w:ascii="宋体" w:hAnsi="宋体"/>
                      <w:szCs w:val="24"/>
                    </w:rPr>
                    <w:t>调查客户总分/调查客户数量</w:t>
                  </w:r>
                </w:p>
              </w:tc>
              <w:tc>
                <w:tcPr>
                  <w:tcW w:w="1064" w:type="dxa"/>
                  <w:shd w:val="clear" w:color="auto" w:fill="auto"/>
                  <w:vAlign w:val="center"/>
                </w:tcPr>
                <w:p>
                  <w:pPr>
                    <w:rPr>
                      <w:rFonts w:hint="eastAsia" w:eastAsia="宋体"/>
                      <w:szCs w:val="24"/>
                      <w:lang w:eastAsia="zh-CN"/>
                    </w:rPr>
                  </w:pPr>
                  <w:r>
                    <w:rPr>
                      <w:rFonts w:hint="eastAsia"/>
                      <w:szCs w:val="24"/>
                    </w:rPr>
                    <w:t>每</w:t>
                  </w:r>
                  <w:r>
                    <w:rPr>
                      <w:rFonts w:hint="eastAsia"/>
                      <w:szCs w:val="24"/>
                      <w:lang w:val="en-US" w:eastAsia="zh-CN"/>
                    </w:rPr>
                    <w:t>年</w:t>
                  </w:r>
                </w:p>
              </w:tc>
              <w:tc>
                <w:tcPr>
                  <w:tcW w:w="2350" w:type="dxa"/>
                  <w:shd w:val="clear" w:color="auto" w:fill="auto"/>
                </w:tcPr>
                <w:p>
                  <w:pPr>
                    <w:rPr>
                      <w:rFonts w:hint="default" w:eastAsia="宋体"/>
                      <w:lang w:val="en-US" w:eastAsia="zh-CN"/>
                    </w:rPr>
                  </w:pPr>
                  <w:r>
                    <w:rPr>
                      <w:rFonts w:hint="eastAsia"/>
                      <w:lang w:val="en-US" w:eastAsia="zh-CN"/>
                    </w:rPr>
                    <w:t>93分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tc>
              <w:tc>
                <w:tcPr>
                  <w:tcW w:w="913" w:type="dxa"/>
                  <w:shd w:val="clear" w:color="auto" w:fill="auto"/>
                  <w:vAlign w:val="center"/>
                </w:tcPr>
                <w:p/>
              </w:tc>
              <w:tc>
                <w:tcPr>
                  <w:tcW w:w="2509" w:type="dxa"/>
                  <w:shd w:val="clear" w:color="auto" w:fill="auto"/>
                  <w:vAlign w:val="center"/>
                </w:tcPr>
                <w:p>
                  <w:pPr>
                    <w:rPr>
                      <w:rFonts w:ascii="宋体" w:hAnsi="宋体"/>
                      <w:szCs w:val="24"/>
                      <w:highlight w:val="cyan"/>
                    </w:rPr>
                  </w:pPr>
                </w:p>
              </w:tc>
              <w:tc>
                <w:tcPr>
                  <w:tcW w:w="1064" w:type="dxa"/>
                  <w:shd w:val="clear" w:color="auto" w:fill="auto"/>
                  <w:vAlign w:val="center"/>
                </w:tcPr>
                <w:p>
                  <w:pPr>
                    <w:rPr>
                      <w:szCs w:val="24"/>
                    </w:rPr>
                  </w:pPr>
                </w:p>
              </w:tc>
              <w:tc>
                <w:tcPr>
                  <w:tcW w:w="2350" w:type="dxa"/>
                  <w:shd w:val="clear" w:color="auto" w:fill="auto"/>
                </w:tcPr>
                <w:p>
                  <w:pPr>
                    <w:rPr>
                      <w:lang w:val="en-GB"/>
                    </w:rPr>
                  </w:pP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变更的策划</w:t>
            </w:r>
          </w:p>
          <w:p/>
        </w:tc>
        <w:tc>
          <w:tcPr>
            <w:tcW w:w="960" w:type="dxa"/>
            <w:vMerge w:val="restart"/>
          </w:tcPr>
          <w:p>
            <w:r>
              <w:rPr>
                <w:rFonts w:hint="eastAsia"/>
                <w:color w:val="000000"/>
                <w:szCs w:val="21"/>
              </w:rPr>
              <w:t>Q6.3</w:t>
            </w:r>
          </w:p>
        </w:tc>
        <w:tc>
          <w:tcPr>
            <w:tcW w:w="745" w:type="dxa"/>
          </w:tcPr>
          <w:p>
            <w:r>
              <w:rPr>
                <w:rFonts w:hint="eastAsia"/>
              </w:rPr>
              <w:t>文件名称</w:t>
            </w:r>
          </w:p>
        </w:tc>
        <w:tc>
          <w:tcPr>
            <w:tcW w:w="9259" w:type="dxa"/>
          </w:tcPr>
          <w:p>
            <w:r>
              <w:rPr>
                <w:rFonts w:hint="eastAsia"/>
              </w:rPr>
              <w:t>如：手册第6.3条款</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□主要设备设施 □主要检测设备 ☑无变更</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体系变更的内容说明</w:t>
                  </w:r>
                </w:p>
              </w:tc>
              <w:tc>
                <w:tcPr>
                  <w:tcW w:w="3632" w:type="dxa"/>
                </w:tcPr>
                <w:p>
                  <w:pPr>
                    <w:rPr>
                      <w:highlight w:val="cyan"/>
                    </w:rPr>
                  </w:pPr>
                  <w:r>
                    <w:rPr>
                      <w:rFonts w:hint="eastAsia"/>
                    </w:rPr>
                    <w:t>无</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资源（总则）</w:t>
            </w:r>
          </w:p>
        </w:tc>
        <w:tc>
          <w:tcPr>
            <w:tcW w:w="960" w:type="dxa"/>
            <w:vMerge w:val="restart"/>
          </w:tcPr>
          <w:p>
            <w:r>
              <w:rPr>
                <w:rFonts w:hint="eastAsia"/>
                <w:color w:val="000000"/>
                <w:szCs w:val="21"/>
              </w:rPr>
              <w:t>Q7.1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手册第7.1条款、</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pPr>
              <w:rPr>
                <w:highlight w:val="none"/>
              </w:rPr>
            </w:pPr>
            <w:r>
              <w:rPr>
                <w:rFonts w:hint="eastAsia"/>
                <w:highlight w:val="none"/>
              </w:rPr>
              <w:t>运行证据</w:t>
            </w:r>
          </w:p>
        </w:tc>
        <w:tc>
          <w:tcPr>
            <w:tcW w:w="9259" w:type="dxa"/>
          </w:tcPr>
          <w:p>
            <w:pPr>
              <w:rPr>
                <w:color w:val="000000"/>
                <w:szCs w:val="21"/>
                <w:highlight w:val="none"/>
              </w:rPr>
            </w:pPr>
            <w:r>
              <w:rPr>
                <w:rFonts w:hint="eastAsia"/>
                <w:color w:val="000000"/>
                <w:szCs w:val="21"/>
                <w:highlight w:val="none"/>
              </w:rPr>
              <w:t xml:space="preserve">和最高管理层确定并提供所需的资源，以建立、实施、保持和持续改进质量管理体系。 </w:t>
            </w:r>
          </w:p>
          <w:p>
            <w:pPr>
              <w:numPr>
                <w:ilvl w:val="0"/>
                <w:numId w:val="2"/>
              </w:numPr>
              <w:rPr>
                <w:color w:val="000000"/>
                <w:szCs w:val="21"/>
                <w:highlight w:val="none"/>
              </w:rPr>
            </w:pPr>
            <w:r>
              <w:rPr>
                <w:rFonts w:hint="eastAsia"/>
                <w:color w:val="000000"/>
                <w:szCs w:val="21"/>
                <w:highlight w:val="none"/>
              </w:rPr>
              <w:t>现有内部资源的能力；</w:t>
            </w:r>
          </w:p>
          <w:p>
            <w:pPr>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 xml:space="preserve">1800  </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1  </w:t>
            </w:r>
            <w:r>
              <w:rPr>
                <w:rFonts w:hint="eastAsia"/>
                <w:highlight w:val="none"/>
              </w:rPr>
              <w:t>个；</w:t>
            </w:r>
          </w:p>
          <w:p>
            <w:pPr>
              <w:rPr>
                <w:highlight w:val="none"/>
                <w:u w:val="single"/>
              </w:rPr>
            </w:pPr>
            <w:r>
              <w:rPr>
                <w:rFonts w:hint="eastAsia"/>
                <w:highlight w:val="none"/>
              </w:rPr>
              <w:t>主要生产设备有：</w:t>
            </w:r>
            <w:r>
              <w:rPr>
                <w:rFonts w:hint="eastAsia"/>
                <w:highlight w:val="none"/>
                <w:u w:val="single"/>
              </w:rPr>
              <w:t xml:space="preserve"> </w:t>
            </w:r>
            <w:r>
              <w:rPr>
                <w:rFonts w:hint="eastAsia"/>
                <w:color w:val="000000"/>
                <w:highlight w:val="none"/>
                <w:u w:val="single"/>
                <w:lang w:val="en-US" w:eastAsia="zh-CN"/>
              </w:rPr>
              <w:t xml:space="preserve">冲床 、弯管机 、焊机、抛丸机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（列举2~4种）</w:t>
            </w:r>
          </w:p>
          <w:p>
            <w:pPr>
              <w:rPr>
                <w:rFonts w:hint="eastAsia"/>
                <w:highlight w:val="none"/>
              </w:rPr>
            </w:pPr>
            <w:r>
              <w:rPr>
                <w:rFonts w:hint="eastAsia"/>
                <w:highlight w:val="none"/>
              </w:rPr>
              <w:t>特种设备：</w:t>
            </w: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rPr>
              <w:sym w:font="Wingdings" w:char="00A8"/>
            </w:r>
            <w:r>
              <w:rPr>
                <w:rFonts w:hint="eastAsia"/>
                <w:highlight w:val="none"/>
              </w:rPr>
              <w:t xml:space="preserve">电梯  </w:t>
            </w:r>
            <w:r>
              <w:rPr>
                <w:rFonts w:hint="eastAsia"/>
                <w:highlight w:val="none"/>
              </w:rPr>
              <w:sym w:font="Wingdings" w:char="00FE"/>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hint="eastAsia"/>
                <w:highlight w:val="none"/>
              </w:rPr>
              <w:sym w:font="Wingdings" w:char="00A8"/>
            </w:r>
            <w:r>
              <w:rPr>
                <w:rFonts w:hint="eastAsia"/>
                <w:highlight w:val="none"/>
              </w:rPr>
              <w:t xml:space="preserve">不适用  </w:t>
            </w:r>
          </w:p>
          <w:p>
            <w:pPr>
              <w:ind w:firstLine="1050" w:firstLineChars="500"/>
              <w:rPr>
                <w:rFonts w:hint="eastAsia"/>
                <w:highlight w:val="none"/>
                <w:u w:val="single"/>
                <w:lang w:val="en-US" w:eastAsia="zh-CN"/>
              </w:rPr>
            </w:pPr>
            <w:r>
              <w:rPr>
                <w:rFonts w:hint="eastAsia"/>
                <w:highlight w:val="none"/>
                <w:u w:val="single"/>
                <w:lang w:val="en-US" w:eastAsia="zh-CN"/>
              </w:rPr>
              <w:t>有一台简单压力容器，在“见生产部审核记录”</w:t>
            </w:r>
          </w:p>
          <w:p>
            <w:pPr>
              <w:rPr>
                <w:highlight w:val="none"/>
                <w:u w:val="single"/>
              </w:rPr>
            </w:pPr>
            <w:r>
              <w:rPr>
                <w:rFonts w:hint="eastAsia"/>
                <w:highlight w:val="none"/>
              </w:rPr>
              <w:t>特种设备管理：</w:t>
            </w:r>
            <w:r>
              <w:rPr>
                <w:rFonts w:hint="eastAsia"/>
                <w:highlight w:val="none"/>
              </w:rPr>
              <w:sym w:font="Wingdings" w:char="00A8"/>
            </w:r>
            <w:r>
              <w:rPr>
                <w:rFonts w:hint="eastAsia"/>
                <w:highlight w:val="none"/>
              </w:rPr>
              <w:t xml:space="preserve">进行了定期检验  </w:t>
            </w:r>
            <w:r>
              <w:rPr>
                <w:rFonts w:hint="eastAsia"/>
                <w:highlight w:val="none"/>
              </w:rPr>
              <w:sym w:font="Wingdings" w:char="00A8"/>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不适用</w:t>
            </w:r>
            <w:r>
              <w:rPr>
                <w:rFonts w:hint="eastAsia"/>
                <w:highlight w:val="none"/>
                <w:u w:val="single"/>
              </w:rPr>
              <w:t xml:space="preserve">        </w:t>
            </w:r>
          </w:p>
          <w:p>
            <w:pPr>
              <w:rPr>
                <w:color w:val="000000"/>
                <w:szCs w:val="21"/>
                <w:highlight w:val="none"/>
              </w:rPr>
            </w:pPr>
          </w:p>
          <w:p>
            <w:pPr>
              <w:rPr>
                <w:rFonts w:hint="eastAsia"/>
                <w:highlight w:val="none"/>
                <w:u w:val="single"/>
                <w:lang w:val="en-US" w:eastAsia="zh-CN"/>
              </w:rPr>
            </w:pPr>
            <w:r>
              <w:rPr>
                <w:rFonts w:hint="eastAsia"/>
                <w:color w:val="000000"/>
                <w:szCs w:val="21"/>
                <w:highlight w:val="none"/>
              </w:rPr>
              <w:t>还存在哪些局限和不足：</w:t>
            </w:r>
            <w:r>
              <w:rPr>
                <w:rFonts w:hint="eastAsia"/>
                <w:highlight w:val="none"/>
                <w:u w:val="single"/>
              </w:rPr>
              <w:t xml:space="preserve">  无  </w:t>
            </w:r>
            <w:r>
              <w:rPr>
                <w:rFonts w:hint="eastAsia"/>
                <w:highlight w:val="none"/>
                <w:u w:val="single"/>
                <w:lang w:val="en-US" w:eastAsia="zh-CN"/>
              </w:rPr>
              <w:t xml:space="preserve"> </w:t>
            </w:r>
          </w:p>
          <w:p>
            <w:pPr>
              <w:rPr>
                <w:rFonts w:hint="eastAsia"/>
                <w:highlight w:val="none"/>
                <w:u w:val="single"/>
                <w:lang w:val="en-US" w:eastAsia="zh-CN"/>
              </w:rPr>
            </w:pPr>
          </w:p>
          <w:p>
            <w:pPr>
              <w:numPr>
                <w:ilvl w:val="0"/>
                <w:numId w:val="2"/>
              </w:numPr>
              <w:rPr>
                <w:highlight w:val="none"/>
              </w:rPr>
            </w:pPr>
            <w:r>
              <w:rPr>
                <w:rFonts w:hint="eastAsia"/>
                <w:color w:val="000000"/>
                <w:szCs w:val="21"/>
                <w:highlight w:val="none"/>
              </w:rPr>
              <w:t>需要从外部供方获得的资源：</w:t>
            </w:r>
            <w:r>
              <w:rPr>
                <w:rFonts w:hint="eastAsia"/>
                <w:highlight w:val="none"/>
              </w:rPr>
              <w:t xml:space="preserve"> </w:t>
            </w:r>
            <w:r>
              <w:rPr>
                <w:rFonts w:hint="eastAsia"/>
                <w:highlight w:val="none"/>
                <w:u w:val="single"/>
              </w:rPr>
              <w:t xml:space="preserve">   产品（成品）运输              </w:t>
            </w:r>
            <w:r>
              <w:rPr>
                <w:rFonts w:hint="eastAsia"/>
                <w:highlight w:val="non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意识</w:t>
            </w:r>
          </w:p>
        </w:tc>
        <w:tc>
          <w:tcPr>
            <w:tcW w:w="960" w:type="dxa"/>
            <w:vMerge w:val="restart"/>
          </w:tcPr>
          <w:p>
            <w:r>
              <w:rPr>
                <w:rFonts w:hint="eastAsia"/>
              </w:rPr>
              <w:t xml:space="preserve">Q7.3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《培训、意识和能力控制程序》、</w:t>
            </w:r>
            <w:r>
              <w:rPr>
                <w:rFonts w:hint="eastAsia"/>
              </w:rPr>
              <w:sym w:font="Wingdings" w:char="00A8"/>
            </w:r>
            <w:r>
              <w:rPr>
                <w:rFonts w:hint="eastAsia"/>
              </w:rPr>
              <w:t>《能力和意识控制程序》</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组织工作人员提高质量意识的方式：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质量方针</w:t>
                  </w:r>
                </w:p>
              </w:tc>
              <w:tc>
                <w:tcPr>
                  <w:tcW w:w="4061" w:type="dxa"/>
                </w:tcPr>
                <w:p>
                  <w:r>
                    <w:rPr>
                      <w:rFonts w:hint="eastAsia" w:ascii="Calibri" w:hAnsi="Calibri"/>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相关的质量目标</w:t>
                  </w:r>
                </w:p>
              </w:tc>
              <w:tc>
                <w:tcPr>
                  <w:tcW w:w="4061" w:type="dxa"/>
                </w:tcPr>
                <w:p>
                  <w:r>
                    <w:rPr>
                      <w:rFonts w:hint="eastAsia" w:ascii="Calibri" w:hAnsi="Calibri"/>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对质量管理体系有效性的贡献，包括改进绩效的益处；</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不符合质量管理体系要求的后果</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r>
              <w:rPr>
                <w:rFonts w:hint="eastAsia"/>
              </w:rPr>
              <w:t>管理评审</w:t>
            </w:r>
          </w:p>
        </w:tc>
        <w:tc>
          <w:tcPr>
            <w:tcW w:w="960" w:type="dxa"/>
            <w:vMerge w:val="restart"/>
          </w:tcPr>
          <w:p>
            <w:r>
              <w:rPr>
                <w:rFonts w:hint="eastAsia"/>
              </w:rPr>
              <w:t>Q9.3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《管理评审控制程序》</w:t>
            </w:r>
            <w:r>
              <w:rPr>
                <w:rFonts w:hint="eastAsia"/>
                <w:lang w:eastAsia="zh-CN"/>
              </w:rPr>
              <w:t>、</w:t>
            </w:r>
            <w:r>
              <w:rPr>
                <w:rFonts w:hint="eastAsia"/>
              </w:rPr>
              <w:sym w:font="Wingdings" w:char="00FE"/>
            </w:r>
            <w:r>
              <w:rPr>
                <w:rFonts w:hint="eastAsia"/>
              </w:rPr>
              <w:t>手册第9.3条款</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259" w:type="dxa"/>
          </w:tcPr>
          <w:p>
            <w:pPr>
              <w:widowControl/>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w:t>
            </w:r>
            <w:r>
              <w:rPr>
                <w:rFonts w:hint="eastAsia"/>
                <w:color w:val="000000"/>
                <w:szCs w:val="18"/>
                <w:u w:val="single"/>
                <w:lang w:val="en-US" w:eastAsia="zh-CN"/>
              </w:rPr>
              <w:t>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3</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rFonts w:hint="eastAsia"/>
                <w:color w:val="000000"/>
                <w:szCs w:val="18"/>
                <w:u w:val="single"/>
                <w:lang w:val="en-US" w:eastAsia="zh-CN"/>
              </w:rPr>
              <w:t>5</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color w:val="000000"/>
                      <w:szCs w:val="21"/>
                    </w:rPr>
                    <w:t>管理评审输入信息</w:t>
                  </w:r>
                </w:p>
              </w:tc>
              <w:tc>
                <w:tcPr>
                  <w:tcW w:w="1990"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列举描述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以往管理评审所采取措施的情况；</w:t>
                  </w:r>
                </w:p>
              </w:tc>
              <w:tc>
                <w:tcPr>
                  <w:tcW w:w="1990"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rFonts w:hint="eastAsia" w:eastAsia="宋体"/>
                      <w:color w:val="000000"/>
                      <w:szCs w:val="21"/>
                      <w:highlight w:val="cyan"/>
                      <w:lang w:eastAsia="zh-CN"/>
                    </w:rPr>
                  </w:pPr>
                  <w:r>
                    <w:rPr>
                      <w:rFonts w:hint="eastAsia"/>
                      <w:color w:val="00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与质量管理体系相关的内外部因素的变化；</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顾客满意和有关相关方的反馈及趋势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质量目标的实现程度及趋势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过程绩效以及产品和服务的合格情况及趋势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不合格及纠正措施及趋势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监视和测量结果及趋势</w:t>
                  </w:r>
                </w:p>
              </w:tc>
              <w:tc>
                <w:tcPr>
                  <w:tcW w:w="1990" w:type="dxa"/>
                </w:tcPr>
                <w:p>
                  <w:pPr>
                    <w:widowControl/>
                    <w:spacing w:before="40"/>
                    <w:jc w:val="left"/>
                    <w:rPr>
                      <w:color w:val="000000"/>
                      <w:szCs w:val="21"/>
                    </w:rPr>
                  </w:pPr>
                  <w:r>
                    <w:rPr>
                      <w:rFonts w:hint="eastAsia"/>
                      <w:color w:val="000000"/>
                      <w:szCs w:val="21"/>
                      <w:lang w:eastAsia="zh-CN"/>
                    </w:rPr>
                    <w:t>□</w:t>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已现场沟通，后期评审关注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内审、外部审核结果及趋势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外部供方的绩效及趋势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资源的充分性；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应对风险和机遇所采取措施的有效性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改进的机会</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rFonts w:hint="eastAsia"/>
                <w:color w:val="000000"/>
                <w:szCs w:val="21"/>
                <w:highlight w:val="cyan"/>
              </w:rPr>
            </w:pPr>
          </w:p>
          <w:p>
            <w:pPr>
              <w:widowControl/>
              <w:spacing w:before="40"/>
              <w:jc w:val="left"/>
              <w:rPr>
                <w:rFonts w:hint="eastAsia"/>
                <w:color w:val="000000"/>
                <w:szCs w:val="21"/>
                <w:highlight w:val="cyan"/>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9"/>
              <w:gridCol w:w="3300"/>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9" w:type="dxa"/>
                </w:tcPr>
                <w:p>
                  <w:pPr>
                    <w:widowControl/>
                    <w:spacing w:before="40"/>
                    <w:jc w:val="left"/>
                    <w:rPr>
                      <w:color w:val="000000"/>
                      <w:szCs w:val="21"/>
                    </w:rPr>
                  </w:pPr>
                  <w:r>
                    <w:rPr>
                      <w:rFonts w:hint="eastAsia"/>
                      <w:color w:val="000000"/>
                      <w:szCs w:val="18"/>
                    </w:rPr>
                    <w:t>管理评审输出信息</w:t>
                  </w:r>
                </w:p>
              </w:tc>
              <w:tc>
                <w:tcPr>
                  <w:tcW w:w="3300" w:type="dxa"/>
                </w:tcPr>
                <w:p>
                  <w:pPr>
                    <w:widowControl/>
                    <w:spacing w:before="40"/>
                    <w:jc w:val="left"/>
                    <w:rPr>
                      <w:color w:val="000000"/>
                      <w:szCs w:val="21"/>
                    </w:rPr>
                  </w:pPr>
                  <w:r>
                    <w:rPr>
                      <w:rFonts w:hint="eastAsia"/>
                      <w:color w:val="000000"/>
                      <w:szCs w:val="21"/>
                    </w:rPr>
                    <w:t>措施描述（</w:t>
                  </w:r>
                  <w:r>
                    <w:rPr>
                      <w:rFonts w:hint="eastAsia"/>
                      <w:b/>
                      <w:bCs/>
                      <w:color w:val="000000"/>
                      <w:szCs w:val="21"/>
                    </w:rPr>
                    <w:t>举例</w:t>
                  </w:r>
                  <w:r>
                    <w:rPr>
                      <w:rFonts w:hint="eastAsia"/>
                      <w:color w:val="000000"/>
                      <w:szCs w:val="21"/>
                    </w:rPr>
                    <w:t>）</w:t>
                  </w:r>
                </w:p>
              </w:tc>
              <w:tc>
                <w:tcPr>
                  <w:tcW w:w="2994"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9" w:type="dxa"/>
                </w:tcPr>
                <w:p>
                  <w:pPr>
                    <w:widowControl/>
                    <w:spacing w:before="40"/>
                    <w:jc w:val="left"/>
                    <w:rPr>
                      <w:color w:val="000000"/>
                      <w:szCs w:val="21"/>
                    </w:rPr>
                  </w:pPr>
                  <w:r>
                    <w:rPr>
                      <w:rFonts w:hint="eastAsia"/>
                    </w:rPr>
                    <w:t>改进的机会</w:t>
                  </w:r>
                </w:p>
              </w:tc>
              <w:tc>
                <w:tcPr>
                  <w:tcW w:w="3300" w:type="dxa"/>
                </w:tcPr>
                <w:p>
                  <w:pPr>
                    <w:widowControl/>
                    <w:spacing w:before="40"/>
                    <w:jc w:val="left"/>
                    <w:rPr>
                      <w:color w:val="000000"/>
                      <w:szCs w:val="21"/>
                    </w:rPr>
                  </w:pPr>
                  <w:r>
                    <w:rPr>
                      <w:rFonts w:hint="eastAsia"/>
                    </w:rPr>
                    <w:t>加强员工对公司体系文件的学习</w:t>
                  </w:r>
                </w:p>
              </w:tc>
              <w:tc>
                <w:tcPr>
                  <w:tcW w:w="2994" w:type="dxa"/>
                </w:tcPr>
                <w:p>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9" w:type="dxa"/>
                </w:tcPr>
                <w:p>
                  <w:pPr>
                    <w:widowControl/>
                    <w:spacing w:before="40"/>
                    <w:jc w:val="left"/>
                    <w:rPr>
                      <w:color w:val="000000"/>
                      <w:szCs w:val="21"/>
                    </w:rPr>
                  </w:pPr>
                  <w:r>
                    <w:rPr>
                      <w:rFonts w:hint="eastAsia"/>
                    </w:rPr>
                    <w:t>质量管理体系所需的变更</w:t>
                  </w:r>
                </w:p>
              </w:tc>
              <w:tc>
                <w:tcPr>
                  <w:tcW w:w="3300" w:type="dxa"/>
                </w:tcPr>
                <w:p>
                  <w:pPr>
                    <w:widowControl/>
                    <w:spacing w:before="40"/>
                    <w:jc w:val="left"/>
                    <w:rPr>
                      <w:rFonts w:hint="eastAsia" w:eastAsia="宋体"/>
                      <w:color w:val="000000"/>
                      <w:szCs w:val="21"/>
                      <w:lang w:eastAsia="zh-CN"/>
                    </w:rPr>
                  </w:pPr>
                  <w:r>
                    <w:rPr>
                      <w:rFonts w:hint="eastAsia"/>
                      <w:color w:val="000000"/>
                      <w:szCs w:val="21"/>
                      <w:lang w:eastAsia="zh-CN"/>
                    </w:rPr>
                    <w:t>——</w:t>
                  </w:r>
                </w:p>
              </w:tc>
              <w:tc>
                <w:tcPr>
                  <w:tcW w:w="2994"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9" w:type="dxa"/>
                </w:tcPr>
                <w:p>
                  <w:pPr>
                    <w:widowControl/>
                    <w:spacing w:before="40"/>
                    <w:jc w:val="left"/>
                    <w:rPr>
                      <w:color w:val="000000"/>
                      <w:szCs w:val="21"/>
                    </w:rPr>
                  </w:pPr>
                  <w:r>
                    <w:rPr>
                      <w:rFonts w:hint="eastAsia"/>
                    </w:rPr>
                    <w:t>资源需求</w:t>
                  </w:r>
                </w:p>
              </w:tc>
              <w:tc>
                <w:tcPr>
                  <w:tcW w:w="3300" w:type="dxa"/>
                </w:tcPr>
                <w:p>
                  <w:pPr>
                    <w:widowControl/>
                    <w:spacing w:before="40"/>
                    <w:jc w:val="left"/>
                    <w:rPr>
                      <w:rFonts w:hint="eastAsia" w:eastAsia="宋体"/>
                      <w:color w:val="000000"/>
                      <w:szCs w:val="21"/>
                      <w:lang w:eastAsia="zh-CN"/>
                    </w:rPr>
                  </w:pPr>
                  <w:r>
                    <w:rPr>
                      <w:rFonts w:hint="eastAsia"/>
                      <w:color w:val="000000"/>
                      <w:szCs w:val="21"/>
                      <w:lang w:eastAsia="zh-CN"/>
                    </w:rPr>
                    <w:t>——</w:t>
                  </w:r>
                </w:p>
              </w:tc>
              <w:tc>
                <w:tcPr>
                  <w:tcW w:w="2994"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pPr>
              <w:rPr>
                <w:rFonts w:hint="eastAsia"/>
                <w:highlight w:val="cya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监视、测量、分析和评价</w:t>
            </w:r>
          </w:p>
          <w:p/>
        </w:tc>
        <w:tc>
          <w:tcPr>
            <w:tcW w:w="960" w:type="dxa"/>
            <w:vMerge w:val="restart"/>
          </w:tcPr>
          <w:p>
            <w:r>
              <w:rPr>
                <w:rFonts w:hint="eastAsia"/>
              </w:rPr>
              <w:t>Q9.1.1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管理手册9.1.1章</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组织对监视和测量的策划</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843"/>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监视和测量的对象</w:t>
                  </w:r>
                </w:p>
              </w:tc>
              <w:tc>
                <w:tcPr>
                  <w:tcW w:w="1843" w:type="dxa"/>
                </w:tcPr>
                <w:p>
                  <w:r>
                    <w:rPr>
                      <w:rFonts w:hint="eastAsia"/>
                    </w:rPr>
                    <w:t>监视、测量的方法</w:t>
                  </w:r>
                </w:p>
              </w:tc>
              <w:tc>
                <w:tcPr>
                  <w:tcW w:w="1986" w:type="dxa"/>
                </w:tcPr>
                <w:p>
                  <w:r>
                    <w:rPr>
                      <w:rFonts w:hint="eastAsia"/>
                    </w:rPr>
                    <w:t>监视和测量的频次和时机</w:t>
                  </w:r>
                </w:p>
              </w:tc>
              <w:tc>
                <w:tcPr>
                  <w:tcW w:w="1887" w:type="dxa"/>
                </w:tcPr>
                <w:p>
                  <w:r>
                    <w:rPr>
                      <w:rFonts w:hint="eastAsia"/>
                    </w:rPr>
                    <w:t>分析和评价的方法</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产品</w:t>
                  </w:r>
                </w:p>
              </w:tc>
              <w:tc>
                <w:tcPr>
                  <w:tcW w:w="1843" w:type="dxa"/>
                </w:tcPr>
                <w:p>
                  <w:r>
                    <w:rPr>
                      <w:rFonts w:hint="eastAsia"/>
                    </w:rPr>
                    <w:t>产品（原材料、半成品、成品）检验</w:t>
                  </w:r>
                </w:p>
              </w:tc>
              <w:tc>
                <w:tcPr>
                  <w:tcW w:w="1986" w:type="dxa"/>
                </w:tcPr>
                <w:p>
                  <w:r>
                    <w:rPr>
                      <w:rFonts w:hint="eastAsia"/>
                      <w:color w:val="000000"/>
                      <w:szCs w:val="21"/>
                    </w:rPr>
                    <w:t>□</w:t>
                  </w:r>
                  <w:r>
                    <w:rPr>
                      <w:rFonts w:hint="eastAsia"/>
                    </w:rPr>
                    <w:t>见检验计划/规程</w:t>
                  </w:r>
                  <w:r>
                    <w:rPr>
                      <w:rFonts w:hint="eastAsia"/>
                      <w:color w:val="000000"/>
                      <w:szCs w:val="21"/>
                    </w:rPr>
                    <w:t>☑每批</w:t>
                  </w:r>
                </w:p>
              </w:tc>
              <w:tc>
                <w:tcPr>
                  <w:tcW w:w="1887" w:type="dxa"/>
                </w:tcPr>
                <w:p>
                  <w:r>
                    <w:rPr>
                      <w:rFonts w:hint="eastAsia"/>
                    </w:rPr>
                    <w:t>对产品合格率进行统计，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过程</w:t>
                  </w:r>
                </w:p>
              </w:tc>
              <w:tc>
                <w:tcPr>
                  <w:tcW w:w="1843" w:type="dxa"/>
                </w:tcPr>
                <w:p>
                  <w:r>
                    <w:rPr>
                      <w:rFonts w:hint="eastAsia"/>
                    </w:rPr>
                    <w:t>现场巡视</w:t>
                  </w:r>
                </w:p>
                <w:p>
                  <w:r>
                    <w:rPr>
                      <w:rFonts w:hint="eastAsia"/>
                    </w:rPr>
                    <w:t>抽查记录</w:t>
                  </w:r>
                </w:p>
              </w:tc>
              <w:tc>
                <w:tcPr>
                  <w:tcW w:w="1986" w:type="dxa"/>
                </w:tcPr>
                <w:p>
                  <w:r>
                    <w:rPr>
                      <w:rFonts w:hint="eastAsia"/>
                      <w:color w:val="000000"/>
                      <w:szCs w:val="21"/>
                    </w:rPr>
                    <w:t>☑</w:t>
                  </w:r>
                  <w:r>
                    <w:rPr>
                      <w:rFonts w:hint="eastAsia"/>
                    </w:rPr>
                    <w:t>定期检查</w:t>
                  </w:r>
                </w:p>
                <w:p>
                  <w:r>
                    <w:rPr>
                      <w:rFonts w:hint="eastAsia"/>
                      <w:color w:val="000000"/>
                      <w:szCs w:val="21"/>
                    </w:rPr>
                    <w:t>☑</w:t>
                  </w:r>
                  <w:r>
                    <w:rPr>
                      <w:rFonts w:hint="eastAsia"/>
                    </w:rPr>
                    <w:t>抽查</w:t>
                  </w:r>
                </w:p>
              </w:tc>
              <w:tc>
                <w:tcPr>
                  <w:tcW w:w="1887" w:type="dxa"/>
                </w:tcPr>
                <w:p>
                  <w:r>
                    <w:rPr>
                      <w:rFonts w:hint="eastAsia"/>
                    </w:rPr>
                    <w:t>对质量目标/Cpk进行统计</w:t>
                  </w:r>
                </w:p>
              </w:tc>
              <w:tc>
                <w:tcPr>
                  <w:tcW w:w="2034" w:type="dxa"/>
                </w:tcPr>
                <w:p>
                  <w:pPr>
                    <w:widowControl/>
                    <w:spacing w:before="40"/>
                    <w:jc w:val="left"/>
                    <w:rPr>
                      <w:color w:val="000000"/>
                      <w:szCs w:val="21"/>
                    </w:rPr>
                  </w:pPr>
                  <w:r>
                    <w:rPr>
                      <w:rFonts w:hint="eastAsia"/>
                      <w:color w:val="000000"/>
                      <w:szCs w:val="21"/>
                      <w:lang w:eastAsia="zh-CN"/>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体系</w:t>
                  </w:r>
                </w:p>
              </w:tc>
              <w:tc>
                <w:tcPr>
                  <w:tcW w:w="1843" w:type="dxa"/>
                </w:tcPr>
                <w:p>
                  <w:r>
                    <w:rPr>
                      <w:rFonts w:hint="eastAsia"/>
                    </w:rPr>
                    <w:t>内部审核</w:t>
                  </w:r>
                </w:p>
              </w:tc>
              <w:tc>
                <w:tcPr>
                  <w:tcW w:w="1986" w:type="dxa"/>
                </w:tcPr>
                <w:p>
                  <w:r>
                    <w:rPr>
                      <w:rFonts w:hint="eastAsia"/>
                      <w:color w:val="000000"/>
                      <w:szCs w:val="21"/>
                    </w:rPr>
                    <w:t>□</w:t>
                  </w:r>
                  <w:r>
                    <w:rPr>
                      <w:rFonts w:hint="eastAsia"/>
                    </w:rPr>
                    <w:t>按年度内审计划</w:t>
                  </w:r>
                </w:p>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对内审不符合项进行分析</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体系有效性</w:t>
                  </w:r>
                </w:p>
              </w:tc>
              <w:tc>
                <w:tcPr>
                  <w:tcW w:w="1843" w:type="dxa"/>
                </w:tcPr>
                <w:p>
                  <w:r>
                    <w:rPr>
                      <w:rFonts w:hint="eastAsia"/>
                    </w:rPr>
                    <w:t>管理评审</w:t>
                  </w:r>
                </w:p>
              </w:tc>
              <w:tc>
                <w:tcPr>
                  <w:tcW w:w="1986" w:type="dxa"/>
                </w:tcPr>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对QMS存在的需要问题进行分析</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顾客满意</w:t>
                  </w:r>
                </w:p>
              </w:tc>
              <w:tc>
                <w:tcPr>
                  <w:tcW w:w="1843" w:type="dxa"/>
                </w:tcPr>
                <w:p>
                  <w:r>
                    <w:rPr>
                      <w:rFonts w:hint="eastAsia"/>
                    </w:rPr>
                    <w:t>问卷调查</w:t>
                  </w:r>
                </w:p>
              </w:tc>
              <w:tc>
                <w:tcPr>
                  <w:tcW w:w="1986" w:type="dxa"/>
                </w:tcPr>
                <w:p>
                  <w:r>
                    <w:rPr>
                      <w:rFonts w:hint="eastAsia"/>
                      <w:color w:val="000000"/>
                      <w:szCs w:val="21"/>
                    </w:rPr>
                    <w:t>☑</w:t>
                  </w:r>
                  <w:r>
                    <w:rPr>
                      <w:rFonts w:hint="eastAsia"/>
                    </w:rPr>
                    <w:t>每年一次</w:t>
                  </w:r>
                </w:p>
                <w:p>
                  <w:r>
                    <w:rPr>
                      <w:rFonts w:hint="eastAsia"/>
                      <w:color w:val="000000"/>
                      <w:szCs w:val="21"/>
                    </w:rPr>
                    <w:t>□</w:t>
                  </w:r>
                </w:p>
              </w:tc>
              <w:tc>
                <w:tcPr>
                  <w:tcW w:w="1887" w:type="dxa"/>
                </w:tcPr>
                <w:p>
                  <w:r>
                    <w:rPr>
                      <w:rFonts w:hint="eastAsia"/>
                    </w:rPr>
                    <w:t>对顾客满意率进行统计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分析与评价</w:t>
            </w:r>
          </w:p>
        </w:tc>
        <w:tc>
          <w:tcPr>
            <w:tcW w:w="960" w:type="dxa"/>
            <w:vMerge w:val="restart"/>
          </w:tcPr>
          <w:p>
            <w:r>
              <w:rPr>
                <w:rFonts w:hint="eastAsia"/>
              </w:rPr>
              <w:t>Q9.1.3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w:t>
            </w:r>
            <w:r>
              <w:rPr>
                <w:rFonts w:hint="eastAsia"/>
                <w:lang w:val="en-US" w:eastAsia="zh-CN"/>
              </w:rPr>
              <w:t xml:space="preserve">9.1.3 </w:t>
            </w:r>
            <w:r>
              <w:rPr>
                <w:rFonts w:hint="eastAsia"/>
              </w:rPr>
              <w:t>章</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对获得的数据和信息进行分析与评价</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1814"/>
              <w:gridCol w:w="1600"/>
              <w:gridCol w:w="2390"/>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分析和评价的对象</w:t>
                  </w:r>
                </w:p>
              </w:tc>
              <w:tc>
                <w:tcPr>
                  <w:tcW w:w="1814" w:type="dxa"/>
                </w:tcPr>
                <w:p>
                  <w:r>
                    <w:rPr>
                      <w:rFonts w:hint="eastAsia"/>
                    </w:rPr>
                    <w:t>分析和评价的方法</w:t>
                  </w:r>
                </w:p>
              </w:tc>
              <w:tc>
                <w:tcPr>
                  <w:tcW w:w="1600" w:type="dxa"/>
                </w:tcPr>
                <w:p>
                  <w:r>
                    <w:rPr>
                      <w:rFonts w:hint="eastAsia"/>
                    </w:rPr>
                    <w:t>分析和评价的频次和时机</w:t>
                  </w:r>
                </w:p>
              </w:tc>
              <w:tc>
                <w:tcPr>
                  <w:tcW w:w="2390" w:type="dxa"/>
                </w:tcPr>
                <w:p>
                  <w:r>
                    <w:rPr>
                      <w:rFonts w:hint="eastAsia"/>
                    </w:rPr>
                    <w:t>使用的统计技术</w:t>
                  </w:r>
                </w:p>
              </w:tc>
              <w:tc>
                <w:tcPr>
                  <w:tcW w:w="1314" w:type="dxa"/>
                </w:tcPr>
                <w:p>
                  <w:r>
                    <w:rPr>
                      <w:rFonts w:hint="eastAsia"/>
                    </w:rPr>
                    <w:t>分析的结果用于改进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产品和服务的符合性</w:t>
                  </w:r>
                </w:p>
              </w:tc>
              <w:tc>
                <w:tcPr>
                  <w:tcW w:w="1814" w:type="dxa"/>
                  <w:shd w:val="clear" w:color="auto" w:fill="auto"/>
                </w:tcPr>
                <w:p>
                  <w:r>
                    <w:rPr>
                      <w:rFonts w:hint="eastAsia"/>
                    </w:rPr>
                    <w:t>对产品合格率进行统计分析，</w:t>
                  </w:r>
                </w:p>
              </w:tc>
              <w:tc>
                <w:tcPr>
                  <w:tcW w:w="1600"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2390"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pPr>
                    <w:rPr>
                      <w:rFonts w:hint="default" w:eastAsia="宋体"/>
                      <w:lang w:val="en-US" w:eastAsia="zh-CN"/>
                    </w:rPr>
                  </w:pPr>
                  <w:r>
                    <w:rPr>
                      <w:rFonts w:hint="eastAsia"/>
                      <w:color w:val="000000"/>
                      <w:szCs w:val="21"/>
                    </w:rPr>
                    <w:sym w:font="Wingdings 2" w:char="0052"/>
                  </w:r>
                  <w:r>
                    <w:rPr>
                      <w:rFonts w:hint="eastAsia"/>
                      <w:lang w:val="en-US" w:eastAsia="zh-CN"/>
                    </w:rPr>
                    <w:t>EXCEL数据统计</w:t>
                  </w:r>
                </w:p>
                <w:p>
                  <w:pPr>
                    <w:rPr>
                      <w:rFonts w:hint="eastAsia"/>
                    </w:rPr>
                  </w:pP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顾客满意程度</w:t>
                  </w:r>
                </w:p>
              </w:tc>
              <w:tc>
                <w:tcPr>
                  <w:tcW w:w="1814" w:type="dxa"/>
                  <w:shd w:val="clear" w:color="auto" w:fill="auto"/>
                </w:tcPr>
                <w:p>
                  <w:r>
                    <w:rPr>
                      <w:rFonts w:hint="eastAsia"/>
                    </w:rPr>
                    <w:t>对顾客满意率进行统计</w:t>
                  </w:r>
                </w:p>
              </w:tc>
              <w:tc>
                <w:tcPr>
                  <w:tcW w:w="1600"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2390"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pPr>
                    <w:rPr>
                      <w:rFonts w:hint="eastAsia"/>
                    </w:rPr>
                  </w:pPr>
                  <w:r>
                    <w:rPr>
                      <w:rFonts w:hint="eastAsia"/>
                      <w:color w:val="000000"/>
                      <w:szCs w:val="21"/>
                    </w:rPr>
                    <w:sym w:font="Wingdings 2" w:char="0052"/>
                  </w:r>
                  <w:r>
                    <w:rPr>
                      <w:rFonts w:hint="eastAsia"/>
                      <w:lang w:val="en-US" w:eastAsia="zh-CN"/>
                    </w:rPr>
                    <w:t>EXCEL数据统计</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质量管理体系的绩效和有效性</w:t>
                  </w:r>
                </w:p>
              </w:tc>
              <w:tc>
                <w:tcPr>
                  <w:tcW w:w="1814" w:type="dxa"/>
                  <w:shd w:val="clear" w:color="auto" w:fill="auto"/>
                </w:tcPr>
                <w:p>
                  <w:r>
                    <w:rPr>
                      <w:rFonts w:hint="eastAsia"/>
                    </w:rPr>
                    <w:t>对内审不符合项进行分析</w:t>
                  </w:r>
                </w:p>
              </w:tc>
              <w:tc>
                <w:tcPr>
                  <w:tcW w:w="1600"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2390"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pPr>
                    <w:rPr>
                      <w:rFonts w:hint="eastAsia"/>
                    </w:rPr>
                  </w:pPr>
                  <w:r>
                    <w:rPr>
                      <w:rFonts w:hint="eastAsia"/>
                      <w:color w:val="000000"/>
                      <w:szCs w:val="21"/>
                    </w:rPr>
                    <w:sym w:font="Wingdings 2" w:char="0052"/>
                  </w:r>
                  <w:r>
                    <w:rPr>
                      <w:rFonts w:hint="eastAsia"/>
                      <w:lang w:val="en-US" w:eastAsia="zh-CN"/>
                    </w:rPr>
                    <w:t>EXCEL数据统计</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策划是否得到有效实施</w:t>
                  </w:r>
                </w:p>
              </w:tc>
              <w:tc>
                <w:tcPr>
                  <w:tcW w:w="1814" w:type="dxa"/>
                  <w:shd w:val="clear" w:color="auto" w:fill="auto"/>
                </w:tcPr>
                <w:p>
                  <w:r>
                    <w:rPr>
                      <w:rFonts w:hint="eastAsia"/>
                    </w:rPr>
                    <w:t>对质量目标完成/Cpk进行统计</w:t>
                  </w:r>
                </w:p>
              </w:tc>
              <w:tc>
                <w:tcPr>
                  <w:tcW w:w="1600"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2390"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pPr>
                    <w:rPr>
                      <w:rFonts w:hint="eastAsia"/>
                    </w:rPr>
                  </w:pPr>
                  <w:r>
                    <w:rPr>
                      <w:rFonts w:hint="eastAsia"/>
                      <w:color w:val="000000"/>
                      <w:szCs w:val="21"/>
                    </w:rPr>
                    <w:t>□</w:t>
                  </w:r>
                  <w:r>
                    <w:rPr>
                      <w:rFonts w:hint="eastAsia"/>
                    </w:rPr>
                    <w:t>SPC</w:t>
                  </w:r>
                </w:p>
                <w:p>
                  <w:pPr>
                    <w:rPr>
                      <w:rFonts w:hint="eastAsia"/>
                    </w:rPr>
                  </w:pPr>
                  <w:r>
                    <w:rPr>
                      <w:rFonts w:hint="eastAsia"/>
                      <w:color w:val="000000"/>
                      <w:szCs w:val="21"/>
                    </w:rPr>
                    <w:sym w:font="Wingdings 2" w:char="0052"/>
                  </w:r>
                  <w:r>
                    <w:rPr>
                      <w:rFonts w:hint="eastAsia"/>
                      <w:lang w:val="en-US" w:eastAsia="zh-CN"/>
                    </w:rPr>
                    <w:t>EXCEL数据统计</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针对风险和机遇所采取措施的有效性</w:t>
                  </w:r>
                </w:p>
              </w:tc>
              <w:tc>
                <w:tcPr>
                  <w:tcW w:w="1814" w:type="dxa"/>
                  <w:shd w:val="clear" w:color="auto" w:fill="auto"/>
                </w:tcPr>
                <w:p>
                  <w:r>
                    <w:rPr>
                      <w:rFonts w:hint="eastAsia"/>
                    </w:rPr>
                    <w:t>对质量目标完成进行统计</w:t>
                  </w:r>
                </w:p>
              </w:tc>
              <w:tc>
                <w:tcPr>
                  <w:tcW w:w="1600"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2390"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外部供方的绩效</w:t>
                  </w:r>
                </w:p>
              </w:tc>
              <w:tc>
                <w:tcPr>
                  <w:tcW w:w="1814" w:type="dxa"/>
                  <w:shd w:val="clear" w:color="auto" w:fill="auto"/>
                </w:tcPr>
                <w:p>
                  <w:r>
                    <w:rPr>
                      <w:rFonts w:hint="eastAsia"/>
                    </w:rPr>
                    <w:t>对外部供方的供货质量和服务质量进行统计分析</w:t>
                  </w:r>
                </w:p>
              </w:tc>
              <w:tc>
                <w:tcPr>
                  <w:tcW w:w="1600"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2390"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pPr>
                    <w:rPr>
                      <w:rFonts w:hint="eastAsia"/>
                    </w:rPr>
                  </w:pPr>
                  <w:r>
                    <w:rPr>
                      <w:rFonts w:hint="eastAsia"/>
                      <w:color w:val="000000"/>
                      <w:szCs w:val="21"/>
                    </w:rPr>
                    <w:t>□</w:t>
                  </w:r>
                  <w:r>
                    <w:rPr>
                      <w:rFonts w:hint="eastAsia"/>
                    </w:rPr>
                    <w:t>SPC</w:t>
                  </w:r>
                </w:p>
                <w:p>
                  <w:pPr>
                    <w:rPr>
                      <w:rFonts w:hint="eastAsia"/>
                    </w:rPr>
                  </w:pPr>
                  <w:r>
                    <w:rPr>
                      <w:rFonts w:hint="eastAsia"/>
                      <w:color w:val="000000"/>
                      <w:szCs w:val="21"/>
                    </w:rPr>
                    <w:sym w:font="Wingdings 2" w:char="0052"/>
                  </w:r>
                  <w:r>
                    <w:rPr>
                      <w:rFonts w:hint="eastAsia"/>
                      <w:lang w:val="en-US" w:eastAsia="zh-CN"/>
                    </w:rPr>
                    <w:t>EXCEL数据统计</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质量管理体系改进的需求</w:t>
                  </w:r>
                </w:p>
              </w:tc>
              <w:tc>
                <w:tcPr>
                  <w:tcW w:w="1814" w:type="dxa"/>
                  <w:shd w:val="clear" w:color="auto" w:fill="auto"/>
                </w:tcPr>
                <w:p>
                  <w:r>
                    <w:rPr>
                      <w:rFonts w:hint="eastAsia"/>
                    </w:rPr>
                    <w:t>对QMS存在的需要问题进行分析</w:t>
                  </w:r>
                </w:p>
              </w:tc>
              <w:tc>
                <w:tcPr>
                  <w:tcW w:w="1600"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2390"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pPr>
                    <w:rPr>
                      <w:rFonts w:hint="eastAsia"/>
                    </w:rPr>
                  </w:pPr>
                  <w:r>
                    <w:rPr>
                      <w:rFonts w:hint="eastAsia"/>
                      <w:color w:val="000000"/>
                      <w:szCs w:val="21"/>
                    </w:rPr>
                    <w:t>□</w:t>
                  </w:r>
                  <w:r>
                    <w:rPr>
                      <w:rFonts w:hint="eastAsia"/>
                    </w:rPr>
                    <w:t>SPC</w:t>
                  </w:r>
                </w:p>
                <w:p>
                  <w:pPr>
                    <w:rPr>
                      <w:rFonts w:hint="eastAsia"/>
                      <w:b/>
                      <w:bCs/>
                    </w:rPr>
                  </w:pPr>
                  <w:r>
                    <w:rPr>
                      <w:rFonts w:hint="eastAsia"/>
                      <w:color w:val="000000"/>
                      <w:szCs w:val="21"/>
                    </w:rPr>
                    <w:sym w:font="Wingdings 2" w:char="0052"/>
                  </w:r>
                  <w:r>
                    <w:rPr>
                      <w:rFonts w:hint="eastAsia"/>
                      <w:lang w:val="en-US" w:eastAsia="zh-CN"/>
                    </w:rPr>
                    <w:t>EXCEL数据统计</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改进</w:t>
            </w:r>
          </w:p>
        </w:tc>
        <w:tc>
          <w:tcPr>
            <w:tcW w:w="960" w:type="dxa"/>
            <w:vMerge w:val="restart"/>
          </w:tcPr>
          <w:p>
            <w:r>
              <w:rPr>
                <w:rFonts w:hint="eastAsia"/>
              </w:rPr>
              <w:t>Q10.1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管理手册10.1章</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10.3 持续改进</w:t>
            </w:r>
          </w:p>
          <w:p/>
        </w:tc>
        <w:tc>
          <w:tcPr>
            <w:tcW w:w="960" w:type="dxa"/>
            <w:vMerge w:val="restart"/>
          </w:tcPr>
          <w:p>
            <w:r>
              <w:rPr>
                <w:rFonts w:hint="eastAsia"/>
              </w:rPr>
              <w:t>Q10.3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管理手册10.3章</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组织已持续改进质量管理体系的适宜性、充分性和有效性。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管理评审改进措施已落实</w:t>
            </w:r>
          </w:p>
          <w:p>
            <w:r>
              <w:rPr>
                <w:rFonts w:hint="eastAsia"/>
              </w:rPr>
              <w:sym w:font="Wingdings" w:char="00A8"/>
            </w:r>
            <w:r>
              <w:rPr>
                <w:rFonts w:hint="eastAsia"/>
              </w:rPr>
              <w:t xml:space="preserve"> 管理评审改进措施未落实的原因：</w:t>
            </w:r>
            <w:r>
              <w:rPr>
                <w:rFonts w:hint="eastAsia"/>
                <w:u w:val="single"/>
              </w:rPr>
              <w:t xml:space="preserve">                              </w:t>
            </w:r>
          </w:p>
        </w:tc>
        <w:tc>
          <w:tcPr>
            <w:tcW w:w="1585" w:type="dxa"/>
            <w:vMerge w:val="continue"/>
          </w:tcPr>
          <w:p/>
        </w:tc>
      </w:tr>
    </w:tbl>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F68D9"/>
    <w:multiLevelType w:val="singleLevel"/>
    <w:tmpl w:val="C50F68D9"/>
    <w:lvl w:ilvl="0" w:tentative="0">
      <w:start w:val="1"/>
      <w:numFmt w:val="decimal"/>
      <w:suff w:val="space"/>
      <w:lvlText w:val="%1."/>
      <w:lvlJc w:val="left"/>
    </w:lvl>
  </w:abstractNum>
  <w:abstractNum w:abstractNumId="1">
    <w:nsid w:val="19E194F9"/>
    <w:multiLevelType w:val="singleLevel"/>
    <w:tmpl w:val="19E194F9"/>
    <w:lvl w:ilvl="0" w:tentative="0">
      <w:start w:val="1"/>
      <w:numFmt w:val="low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62E46"/>
    <w:rsid w:val="000E6B21"/>
    <w:rsid w:val="001A2D7F"/>
    <w:rsid w:val="002939AD"/>
    <w:rsid w:val="002B5153"/>
    <w:rsid w:val="00314AF6"/>
    <w:rsid w:val="00337922"/>
    <w:rsid w:val="00340867"/>
    <w:rsid w:val="0034330B"/>
    <w:rsid w:val="00380837"/>
    <w:rsid w:val="003A198A"/>
    <w:rsid w:val="00410914"/>
    <w:rsid w:val="0048201E"/>
    <w:rsid w:val="00536930"/>
    <w:rsid w:val="00564E53"/>
    <w:rsid w:val="005D096A"/>
    <w:rsid w:val="005D5659"/>
    <w:rsid w:val="00600C20"/>
    <w:rsid w:val="00644FE2"/>
    <w:rsid w:val="0067640C"/>
    <w:rsid w:val="006E678B"/>
    <w:rsid w:val="006E7B1D"/>
    <w:rsid w:val="007757F3"/>
    <w:rsid w:val="00792035"/>
    <w:rsid w:val="007C1B48"/>
    <w:rsid w:val="007E3B15"/>
    <w:rsid w:val="007E6AEB"/>
    <w:rsid w:val="00865758"/>
    <w:rsid w:val="008973EE"/>
    <w:rsid w:val="00971600"/>
    <w:rsid w:val="009973B4"/>
    <w:rsid w:val="009C28C1"/>
    <w:rsid w:val="009F7EED"/>
    <w:rsid w:val="00A80636"/>
    <w:rsid w:val="00AF0AAB"/>
    <w:rsid w:val="00BF597E"/>
    <w:rsid w:val="00C51A36"/>
    <w:rsid w:val="00C55228"/>
    <w:rsid w:val="00C63768"/>
    <w:rsid w:val="00CE315A"/>
    <w:rsid w:val="00D06F59"/>
    <w:rsid w:val="00D2392F"/>
    <w:rsid w:val="00D8388C"/>
    <w:rsid w:val="00E6224C"/>
    <w:rsid w:val="00EB0164"/>
    <w:rsid w:val="00ED0F62"/>
    <w:rsid w:val="00FF7401"/>
    <w:rsid w:val="01260C71"/>
    <w:rsid w:val="01A321D9"/>
    <w:rsid w:val="01E27364"/>
    <w:rsid w:val="01FE18C8"/>
    <w:rsid w:val="02C75A20"/>
    <w:rsid w:val="032F5195"/>
    <w:rsid w:val="03A0688A"/>
    <w:rsid w:val="03A32F8E"/>
    <w:rsid w:val="03AB4A3B"/>
    <w:rsid w:val="03AC3D8E"/>
    <w:rsid w:val="03CE483E"/>
    <w:rsid w:val="03CF54E8"/>
    <w:rsid w:val="0405614C"/>
    <w:rsid w:val="04883DB3"/>
    <w:rsid w:val="04981EC9"/>
    <w:rsid w:val="050D3D1E"/>
    <w:rsid w:val="056577F0"/>
    <w:rsid w:val="05705C5F"/>
    <w:rsid w:val="057753FF"/>
    <w:rsid w:val="05A05014"/>
    <w:rsid w:val="05B44859"/>
    <w:rsid w:val="05D4332F"/>
    <w:rsid w:val="05F6270F"/>
    <w:rsid w:val="0605101B"/>
    <w:rsid w:val="061B4460"/>
    <w:rsid w:val="063554F0"/>
    <w:rsid w:val="06444A1B"/>
    <w:rsid w:val="067B702D"/>
    <w:rsid w:val="06994A8D"/>
    <w:rsid w:val="06AA7E97"/>
    <w:rsid w:val="06ED612A"/>
    <w:rsid w:val="07FD44A3"/>
    <w:rsid w:val="081E2104"/>
    <w:rsid w:val="086B3934"/>
    <w:rsid w:val="08761C7A"/>
    <w:rsid w:val="08767210"/>
    <w:rsid w:val="08851DD7"/>
    <w:rsid w:val="08C22483"/>
    <w:rsid w:val="08ED1EE8"/>
    <w:rsid w:val="09005957"/>
    <w:rsid w:val="094663BE"/>
    <w:rsid w:val="096333C5"/>
    <w:rsid w:val="09933EF9"/>
    <w:rsid w:val="09AA0CA5"/>
    <w:rsid w:val="09FA6045"/>
    <w:rsid w:val="0A0F142E"/>
    <w:rsid w:val="0A1C56C1"/>
    <w:rsid w:val="0A8709B9"/>
    <w:rsid w:val="0A904067"/>
    <w:rsid w:val="0AAB13CF"/>
    <w:rsid w:val="0ACA6ED2"/>
    <w:rsid w:val="0AEF4D8D"/>
    <w:rsid w:val="0BE64DFF"/>
    <w:rsid w:val="0C5423F7"/>
    <w:rsid w:val="0C8009B8"/>
    <w:rsid w:val="0CC102DA"/>
    <w:rsid w:val="0D181113"/>
    <w:rsid w:val="0D1E4D9B"/>
    <w:rsid w:val="0D270A06"/>
    <w:rsid w:val="0D4D1326"/>
    <w:rsid w:val="0D6A2C36"/>
    <w:rsid w:val="0DB35CC0"/>
    <w:rsid w:val="0E385B07"/>
    <w:rsid w:val="0E49595F"/>
    <w:rsid w:val="0E4C2AA7"/>
    <w:rsid w:val="0EB8524B"/>
    <w:rsid w:val="0F86648B"/>
    <w:rsid w:val="0F9C35C1"/>
    <w:rsid w:val="0FFA42BF"/>
    <w:rsid w:val="10062D9E"/>
    <w:rsid w:val="100B6D7F"/>
    <w:rsid w:val="100D075A"/>
    <w:rsid w:val="106A3497"/>
    <w:rsid w:val="108219C2"/>
    <w:rsid w:val="10991918"/>
    <w:rsid w:val="10A120FB"/>
    <w:rsid w:val="10AB5B5F"/>
    <w:rsid w:val="10C112A0"/>
    <w:rsid w:val="10C11C69"/>
    <w:rsid w:val="10DD2E35"/>
    <w:rsid w:val="11536201"/>
    <w:rsid w:val="115D3DB9"/>
    <w:rsid w:val="119E3FF4"/>
    <w:rsid w:val="11BD2BE2"/>
    <w:rsid w:val="11BE2038"/>
    <w:rsid w:val="11DC0AC4"/>
    <w:rsid w:val="11E2439D"/>
    <w:rsid w:val="124C3B13"/>
    <w:rsid w:val="12563B2D"/>
    <w:rsid w:val="12A2571D"/>
    <w:rsid w:val="12A42EA7"/>
    <w:rsid w:val="12A506D3"/>
    <w:rsid w:val="131962C9"/>
    <w:rsid w:val="13296CDD"/>
    <w:rsid w:val="134E7573"/>
    <w:rsid w:val="13890C2B"/>
    <w:rsid w:val="13A420AC"/>
    <w:rsid w:val="13C11723"/>
    <w:rsid w:val="13C31FF4"/>
    <w:rsid w:val="13EB79B2"/>
    <w:rsid w:val="145B46D3"/>
    <w:rsid w:val="14BA1243"/>
    <w:rsid w:val="14C400FD"/>
    <w:rsid w:val="14EF5EB2"/>
    <w:rsid w:val="14F1297E"/>
    <w:rsid w:val="14F26225"/>
    <w:rsid w:val="15023387"/>
    <w:rsid w:val="15051B66"/>
    <w:rsid w:val="151414F9"/>
    <w:rsid w:val="154C7AB0"/>
    <w:rsid w:val="155F4281"/>
    <w:rsid w:val="158035C7"/>
    <w:rsid w:val="15BC540D"/>
    <w:rsid w:val="16210B83"/>
    <w:rsid w:val="16583F2B"/>
    <w:rsid w:val="16912340"/>
    <w:rsid w:val="169D3E09"/>
    <w:rsid w:val="16AB3CAD"/>
    <w:rsid w:val="16E341B9"/>
    <w:rsid w:val="16F10A78"/>
    <w:rsid w:val="17226BDD"/>
    <w:rsid w:val="17446813"/>
    <w:rsid w:val="177551EA"/>
    <w:rsid w:val="179B1D36"/>
    <w:rsid w:val="17C079EC"/>
    <w:rsid w:val="17F76BA3"/>
    <w:rsid w:val="182A66F0"/>
    <w:rsid w:val="182F656A"/>
    <w:rsid w:val="186A6524"/>
    <w:rsid w:val="186F767B"/>
    <w:rsid w:val="187F0353"/>
    <w:rsid w:val="188852B3"/>
    <w:rsid w:val="18DD0D85"/>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327EE5"/>
    <w:rsid w:val="1B462375"/>
    <w:rsid w:val="1B5E3B97"/>
    <w:rsid w:val="1C392A3A"/>
    <w:rsid w:val="1C4C1E84"/>
    <w:rsid w:val="1C880B67"/>
    <w:rsid w:val="1C923014"/>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646C64"/>
    <w:rsid w:val="207644C2"/>
    <w:rsid w:val="20A856C1"/>
    <w:rsid w:val="21A07B88"/>
    <w:rsid w:val="21A5651D"/>
    <w:rsid w:val="21D24208"/>
    <w:rsid w:val="22044DFC"/>
    <w:rsid w:val="2241348F"/>
    <w:rsid w:val="226B1105"/>
    <w:rsid w:val="226B2F60"/>
    <w:rsid w:val="22813299"/>
    <w:rsid w:val="23194B67"/>
    <w:rsid w:val="232E1BCD"/>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247B4B"/>
    <w:rsid w:val="28341F0D"/>
    <w:rsid w:val="28481DD2"/>
    <w:rsid w:val="2892323E"/>
    <w:rsid w:val="289361DE"/>
    <w:rsid w:val="28E623FA"/>
    <w:rsid w:val="291C5E47"/>
    <w:rsid w:val="296D2D47"/>
    <w:rsid w:val="29CB46C2"/>
    <w:rsid w:val="29E253FB"/>
    <w:rsid w:val="29F77BA5"/>
    <w:rsid w:val="2A3A6E77"/>
    <w:rsid w:val="2A85024C"/>
    <w:rsid w:val="2B0D2F04"/>
    <w:rsid w:val="2B1D2572"/>
    <w:rsid w:val="2B206A2D"/>
    <w:rsid w:val="2B4C1179"/>
    <w:rsid w:val="2BD60481"/>
    <w:rsid w:val="2BEA3FA7"/>
    <w:rsid w:val="2C0D0D35"/>
    <w:rsid w:val="2C2E44D4"/>
    <w:rsid w:val="2C6F7203"/>
    <w:rsid w:val="2C7B6C71"/>
    <w:rsid w:val="2D357F0D"/>
    <w:rsid w:val="2D4E604F"/>
    <w:rsid w:val="2D5C2AB0"/>
    <w:rsid w:val="2D7A20E6"/>
    <w:rsid w:val="2DC57805"/>
    <w:rsid w:val="2DDA0493"/>
    <w:rsid w:val="2DDF08DF"/>
    <w:rsid w:val="2DFF79D8"/>
    <w:rsid w:val="2E32284C"/>
    <w:rsid w:val="2E367C56"/>
    <w:rsid w:val="2E440885"/>
    <w:rsid w:val="2EEE512C"/>
    <w:rsid w:val="2F462957"/>
    <w:rsid w:val="2F511B05"/>
    <w:rsid w:val="2F7C571D"/>
    <w:rsid w:val="2FA86B66"/>
    <w:rsid w:val="2FE823A5"/>
    <w:rsid w:val="2FEA1C57"/>
    <w:rsid w:val="300172B8"/>
    <w:rsid w:val="30945277"/>
    <w:rsid w:val="30C71DD4"/>
    <w:rsid w:val="30DC7CB1"/>
    <w:rsid w:val="30ED30CC"/>
    <w:rsid w:val="31064141"/>
    <w:rsid w:val="310D6AA3"/>
    <w:rsid w:val="31482B78"/>
    <w:rsid w:val="31B048EB"/>
    <w:rsid w:val="31B477DB"/>
    <w:rsid w:val="31B67BE2"/>
    <w:rsid w:val="31CA71DD"/>
    <w:rsid w:val="324E5138"/>
    <w:rsid w:val="331E21CE"/>
    <w:rsid w:val="33562A0D"/>
    <w:rsid w:val="33715F28"/>
    <w:rsid w:val="33F07155"/>
    <w:rsid w:val="340C6245"/>
    <w:rsid w:val="343C4522"/>
    <w:rsid w:val="347A0336"/>
    <w:rsid w:val="34F92D63"/>
    <w:rsid w:val="35527F1F"/>
    <w:rsid w:val="357914C0"/>
    <w:rsid w:val="35CA668A"/>
    <w:rsid w:val="35D721CD"/>
    <w:rsid w:val="36174333"/>
    <w:rsid w:val="364A3F09"/>
    <w:rsid w:val="364C3817"/>
    <w:rsid w:val="367A501B"/>
    <w:rsid w:val="368249AA"/>
    <w:rsid w:val="36EA501F"/>
    <w:rsid w:val="372D3763"/>
    <w:rsid w:val="37A3423F"/>
    <w:rsid w:val="37A66325"/>
    <w:rsid w:val="37AF435B"/>
    <w:rsid w:val="37B82B0E"/>
    <w:rsid w:val="37D8509F"/>
    <w:rsid w:val="380178E9"/>
    <w:rsid w:val="38363F4B"/>
    <w:rsid w:val="385F5D57"/>
    <w:rsid w:val="386866FF"/>
    <w:rsid w:val="38803663"/>
    <w:rsid w:val="389A539F"/>
    <w:rsid w:val="38B37216"/>
    <w:rsid w:val="38BD5C7F"/>
    <w:rsid w:val="38C5580C"/>
    <w:rsid w:val="38EC325F"/>
    <w:rsid w:val="39090322"/>
    <w:rsid w:val="39241244"/>
    <w:rsid w:val="39286E54"/>
    <w:rsid w:val="399117DD"/>
    <w:rsid w:val="39972637"/>
    <w:rsid w:val="39D7104B"/>
    <w:rsid w:val="3A3E0D9F"/>
    <w:rsid w:val="3A5573DE"/>
    <w:rsid w:val="3AAB1306"/>
    <w:rsid w:val="3ABD0173"/>
    <w:rsid w:val="3ACE23E2"/>
    <w:rsid w:val="3B227AA7"/>
    <w:rsid w:val="3B4241C0"/>
    <w:rsid w:val="3B5F0280"/>
    <w:rsid w:val="3B8C1823"/>
    <w:rsid w:val="3BCD5A20"/>
    <w:rsid w:val="3BEE1D6F"/>
    <w:rsid w:val="3BF1473C"/>
    <w:rsid w:val="3CA475E5"/>
    <w:rsid w:val="3CA717F2"/>
    <w:rsid w:val="3CC56579"/>
    <w:rsid w:val="3CEB2CC9"/>
    <w:rsid w:val="3D053E44"/>
    <w:rsid w:val="3D721433"/>
    <w:rsid w:val="3DA34201"/>
    <w:rsid w:val="3DAB460B"/>
    <w:rsid w:val="3DDA7DB2"/>
    <w:rsid w:val="3DF92E01"/>
    <w:rsid w:val="3E342793"/>
    <w:rsid w:val="3E3C5235"/>
    <w:rsid w:val="3EA34B57"/>
    <w:rsid w:val="3ED604A2"/>
    <w:rsid w:val="3EEF1E6E"/>
    <w:rsid w:val="3F654598"/>
    <w:rsid w:val="3FEB6494"/>
    <w:rsid w:val="40571F31"/>
    <w:rsid w:val="40760623"/>
    <w:rsid w:val="408B7234"/>
    <w:rsid w:val="40E27AF7"/>
    <w:rsid w:val="40F80D82"/>
    <w:rsid w:val="41342A6B"/>
    <w:rsid w:val="414C7183"/>
    <w:rsid w:val="418D501C"/>
    <w:rsid w:val="41BB58E6"/>
    <w:rsid w:val="41C832C7"/>
    <w:rsid w:val="41E9167B"/>
    <w:rsid w:val="42416B50"/>
    <w:rsid w:val="4262379E"/>
    <w:rsid w:val="427A1188"/>
    <w:rsid w:val="4289200B"/>
    <w:rsid w:val="42C77562"/>
    <w:rsid w:val="432A5E11"/>
    <w:rsid w:val="433B1167"/>
    <w:rsid w:val="433E2DC7"/>
    <w:rsid w:val="435F500F"/>
    <w:rsid w:val="43C730CD"/>
    <w:rsid w:val="441D0975"/>
    <w:rsid w:val="44A567F5"/>
    <w:rsid w:val="453B1EBC"/>
    <w:rsid w:val="45635AEC"/>
    <w:rsid w:val="45BA54FA"/>
    <w:rsid w:val="45EC74A5"/>
    <w:rsid w:val="45FA6B69"/>
    <w:rsid w:val="460414DD"/>
    <w:rsid w:val="46332B60"/>
    <w:rsid w:val="4654705C"/>
    <w:rsid w:val="468C6A25"/>
    <w:rsid w:val="468D2C1F"/>
    <w:rsid w:val="468D3CA5"/>
    <w:rsid w:val="4694248B"/>
    <w:rsid w:val="46A32063"/>
    <w:rsid w:val="46EA7997"/>
    <w:rsid w:val="470243E7"/>
    <w:rsid w:val="471F1498"/>
    <w:rsid w:val="47271944"/>
    <w:rsid w:val="475C4BFE"/>
    <w:rsid w:val="47BB044C"/>
    <w:rsid w:val="47F95078"/>
    <w:rsid w:val="48262DE5"/>
    <w:rsid w:val="489C0A39"/>
    <w:rsid w:val="490747F7"/>
    <w:rsid w:val="49105C6D"/>
    <w:rsid w:val="496D185A"/>
    <w:rsid w:val="49C0281D"/>
    <w:rsid w:val="49E449BF"/>
    <w:rsid w:val="49EC77B8"/>
    <w:rsid w:val="49ED5B1C"/>
    <w:rsid w:val="4AD45EF1"/>
    <w:rsid w:val="4AE04A18"/>
    <w:rsid w:val="4B12455E"/>
    <w:rsid w:val="4B337454"/>
    <w:rsid w:val="4B407CC6"/>
    <w:rsid w:val="4B42232B"/>
    <w:rsid w:val="4B825A76"/>
    <w:rsid w:val="4B8B3702"/>
    <w:rsid w:val="4B9B0D7E"/>
    <w:rsid w:val="4B9C6F9C"/>
    <w:rsid w:val="4BC83B65"/>
    <w:rsid w:val="4BC87AB0"/>
    <w:rsid w:val="4C1454A4"/>
    <w:rsid w:val="4CA74E41"/>
    <w:rsid w:val="4CA91B51"/>
    <w:rsid w:val="4CB62537"/>
    <w:rsid w:val="4CD2365B"/>
    <w:rsid w:val="4CFB4E3C"/>
    <w:rsid w:val="4D352804"/>
    <w:rsid w:val="4D791805"/>
    <w:rsid w:val="4D8F2F88"/>
    <w:rsid w:val="4DB86BCB"/>
    <w:rsid w:val="4DD85058"/>
    <w:rsid w:val="4E0166A9"/>
    <w:rsid w:val="4E1551DB"/>
    <w:rsid w:val="4E7774D0"/>
    <w:rsid w:val="4F594843"/>
    <w:rsid w:val="4FAF3052"/>
    <w:rsid w:val="503C3BCC"/>
    <w:rsid w:val="505C4971"/>
    <w:rsid w:val="50C41CF1"/>
    <w:rsid w:val="51217DA6"/>
    <w:rsid w:val="51294703"/>
    <w:rsid w:val="51425A27"/>
    <w:rsid w:val="5158757E"/>
    <w:rsid w:val="521A5D1E"/>
    <w:rsid w:val="523624DE"/>
    <w:rsid w:val="52A23F56"/>
    <w:rsid w:val="52BA5471"/>
    <w:rsid w:val="52D871F4"/>
    <w:rsid w:val="52F263D6"/>
    <w:rsid w:val="52F737EA"/>
    <w:rsid w:val="53024EB7"/>
    <w:rsid w:val="53261795"/>
    <w:rsid w:val="5373268D"/>
    <w:rsid w:val="53953BE7"/>
    <w:rsid w:val="53F51637"/>
    <w:rsid w:val="54124FEF"/>
    <w:rsid w:val="541C4B67"/>
    <w:rsid w:val="552A2893"/>
    <w:rsid w:val="555A4FF2"/>
    <w:rsid w:val="556B045B"/>
    <w:rsid w:val="557D4E77"/>
    <w:rsid w:val="55C375DD"/>
    <w:rsid w:val="56156439"/>
    <w:rsid w:val="5656544C"/>
    <w:rsid w:val="56643532"/>
    <w:rsid w:val="568B5A7B"/>
    <w:rsid w:val="56EF2BB9"/>
    <w:rsid w:val="570A6E63"/>
    <w:rsid w:val="573B0118"/>
    <w:rsid w:val="573D2268"/>
    <w:rsid w:val="57411925"/>
    <w:rsid w:val="57441E32"/>
    <w:rsid w:val="57535542"/>
    <w:rsid w:val="575B3098"/>
    <w:rsid w:val="577F7188"/>
    <w:rsid w:val="57F55B90"/>
    <w:rsid w:val="580F191D"/>
    <w:rsid w:val="58276F84"/>
    <w:rsid w:val="58584813"/>
    <w:rsid w:val="58B728A2"/>
    <w:rsid w:val="58B868EB"/>
    <w:rsid w:val="590D059A"/>
    <w:rsid w:val="592802C2"/>
    <w:rsid w:val="5939327C"/>
    <w:rsid w:val="5978735A"/>
    <w:rsid w:val="59AF126F"/>
    <w:rsid w:val="59E42114"/>
    <w:rsid w:val="59E710C8"/>
    <w:rsid w:val="5A0B0AB5"/>
    <w:rsid w:val="5A1C59A1"/>
    <w:rsid w:val="5A407674"/>
    <w:rsid w:val="5A432974"/>
    <w:rsid w:val="5A6A20C5"/>
    <w:rsid w:val="5AD64AF2"/>
    <w:rsid w:val="5AEE39DB"/>
    <w:rsid w:val="5B046AEC"/>
    <w:rsid w:val="5B544EB3"/>
    <w:rsid w:val="5B6A33DD"/>
    <w:rsid w:val="5BD1484D"/>
    <w:rsid w:val="5BF04FFA"/>
    <w:rsid w:val="5C4D2649"/>
    <w:rsid w:val="5C8D6CFF"/>
    <w:rsid w:val="5C966EB6"/>
    <w:rsid w:val="5C9E007C"/>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EF56050"/>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8F4421"/>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7C2796"/>
    <w:rsid w:val="67AF7DB6"/>
    <w:rsid w:val="680564C6"/>
    <w:rsid w:val="681B3F7A"/>
    <w:rsid w:val="68233428"/>
    <w:rsid w:val="68575061"/>
    <w:rsid w:val="68B54AF7"/>
    <w:rsid w:val="68CA009F"/>
    <w:rsid w:val="695B5920"/>
    <w:rsid w:val="69B35A0D"/>
    <w:rsid w:val="69CC607C"/>
    <w:rsid w:val="69EA1163"/>
    <w:rsid w:val="69F96768"/>
    <w:rsid w:val="6A287F98"/>
    <w:rsid w:val="6AB40496"/>
    <w:rsid w:val="6ABD1D5E"/>
    <w:rsid w:val="6AE81CC5"/>
    <w:rsid w:val="6AF33939"/>
    <w:rsid w:val="6B795D62"/>
    <w:rsid w:val="6BC747F5"/>
    <w:rsid w:val="6BD35CE4"/>
    <w:rsid w:val="6C3014BE"/>
    <w:rsid w:val="6C5D414F"/>
    <w:rsid w:val="6C635932"/>
    <w:rsid w:val="6CA324B4"/>
    <w:rsid w:val="6CC44B47"/>
    <w:rsid w:val="6CDE17FD"/>
    <w:rsid w:val="6D1D2C91"/>
    <w:rsid w:val="6D232D3C"/>
    <w:rsid w:val="6D2F5D1E"/>
    <w:rsid w:val="6D792112"/>
    <w:rsid w:val="6E641038"/>
    <w:rsid w:val="6EBD0EA6"/>
    <w:rsid w:val="6F2F5C01"/>
    <w:rsid w:val="6F360AA1"/>
    <w:rsid w:val="6F435405"/>
    <w:rsid w:val="6F4810D8"/>
    <w:rsid w:val="6F6D2BAA"/>
    <w:rsid w:val="6F9119BB"/>
    <w:rsid w:val="6F9A4A47"/>
    <w:rsid w:val="701710D0"/>
    <w:rsid w:val="70795456"/>
    <w:rsid w:val="709946EC"/>
    <w:rsid w:val="70B256FB"/>
    <w:rsid w:val="72226A31"/>
    <w:rsid w:val="72702455"/>
    <w:rsid w:val="728F2E47"/>
    <w:rsid w:val="72973011"/>
    <w:rsid w:val="72E42D1B"/>
    <w:rsid w:val="734F0911"/>
    <w:rsid w:val="736054C4"/>
    <w:rsid w:val="736C572D"/>
    <w:rsid w:val="73A422EB"/>
    <w:rsid w:val="74103E55"/>
    <w:rsid w:val="745B622A"/>
    <w:rsid w:val="748E537A"/>
    <w:rsid w:val="753E2D2E"/>
    <w:rsid w:val="75B91B9C"/>
    <w:rsid w:val="75DB13A5"/>
    <w:rsid w:val="75E00376"/>
    <w:rsid w:val="75E552E3"/>
    <w:rsid w:val="762E2DED"/>
    <w:rsid w:val="7648538B"/>
    <w:rsid w:val="76577132"/>
    <w:rsid w:val="76BD747C"/>
    <w:rsid w:val="76CD52EB"/>
    <w:rsid w:val="76FE004A"/>
    <w:rsid w:val="771B17CC"/>
    <w:rsid w:val="77462C4C"/>
    <w:rsid w:val="77A268F6"/>
    <w:rsid w:val="77CC3658"/>
    <w:rsid w:val="780F54C3"/>
    <w:rsid w:val="782C6CF7"/>
    <w:rsid w:val="78680ECD"/>
    <w:rsid w:val="7880670B"/>
    <w:rsid w:val="78A25951"/>
    <w:rsid w:val="78A35FE5"/>
    <w:rsid w:val="78C4002B"/>
    <w:rsid w:val="78EE7F5B"/>
    <w:rsid w:val="78F11CE1"/>
    <w:rsid w:val="78F66955"/>
    <w:rsid w:val="78F8423B"/>
    <w:rsid w:val="79053EDA"/>
    <w:rsid w:val="79097264"/>
    <w:rsid w:val="791D3993"/>
    <w:rsid w:val="79202162"/>
    <w:rsid w:val="7924138B"/>
    <w:rsid w:val="79826449"/>
    <w:rsid w:val="79D339B9"/>
    <w:rsid w:val="7A200C95"/>
    <w:rsid w:val="7A594332"/>
    <w:rsid w:val="7A8564DB"/>
    <w:rsid w:val="7AC22B97"/>
    <w:rsid w:val="7B190280"/>
    <w:rsid w:val="7B1F77A4"/>
    <w:rsid w:val="7B292799"/>
    <w:rsid w:val="7C090682"/>
    <w:rsid w:val="7C183634"/>
    <w:rsid w:val="7C351D89"/>
    <w:rsid w:val="7C6A6CA8"/>
    <w:rsid w:val="7C9307A3"/>
    <w:rsid w:val="7CE81F24"/>
    <w:rsid w:val="7CF04E00"/>
    <w:rsid w:val="7D41026F"/>
    <w:rsid w:val="7D59343F"/>
    <w:rsid w:val="7E0A78B3"/>
    <w:rsid w:val="7E2912F3"/>
    <w:rsid w:val="7F850D3B"/>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1113</Words>
  <Characters>6348</Characters>
  <Lines>52</Lines>
  <Paragraphs>14</Paragraphs>
  <TotalTime>5</TotalTime>
  <ScaleCrop>false</ScaleCrop>
  <LinksUpToDate>false</LinksUpToDate>
  <CharactersWithSpaces>7447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2021-04-22T04:55:29Z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9CF200CB7223461AA6F8221ED79F6D12</vt:lpwstr>
  </property>
</Properties>
</file>