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7"/>
        <w:gridCol w:w="925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马治国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肖新龙、王娟（专家）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QMS: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5.3/6.2/7.1.3/7.1.4/8.1/8.5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val="en-US" w:eastAsia="zh-CN"/>
              </w:rPr>
              <w:t>.1/8.5.2/8.5.6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职责、权限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2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手册第5.3条款、岗位职责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752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运行证据</w:t>
            </w:r>
          </w:p>
        </w:tc>
        <w:tc>
          <w:tcPr>
            <w:tcW w:w="925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主要负责招标文件的样件打样、生产计划安排、生产过程及环境的管控、生产设备维护保养、安装及调试等工作。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成品一次交验合格率≥98%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成品一次交验合格数/成品交验总数×100%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控制程序》、《设备管理制度》、《设备操作规程》</w:t>
            </w:r>
          </w:p>
          <w:p/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</w:t>
            </w:r>
          </w:p>
          <w:tbl>
            <w:tblPr>
              <w:tblStyle w:val="6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查看对设备维保的控制，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提供有《生产设施管理台账》、《2021年度设备检修计划》，抽查《设备日常维护记录》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9"/>
              <w:gridCol w:w="1060"/>
              <w:gridCol w:w="1400"/>
              <w:gridCol w:w="1210"/>
              <w:gridCol w:w="3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0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4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val="en-US" w:eastAsia="zh-CN" w:bidi="ar-SA"/>
                    </w:rPr>
                    <w:t>注塑机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2021-03-01</w:t>
                  </w:r>
                </w:p>
              </w:tc>
              <w:tc>
                <w:tcPr>
                  <w:tcW w:w="121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液压机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2021-03-02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冲床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2021-03-03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零件松动检查、添加润滑油、卫生的清洁、检查线路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弯管机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2021-03-07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零件松动检查、添加润滑油、卫生的清洁、检查线路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剪板机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2021-03-15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零件松动检查、添加润滑油、卫生的清洁、检查线路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冷压机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2021-03-17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零件松动检查、添加润滑油、卫生的清洁、检查线路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日常维保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钢管下料锯</w:t>
                  </w: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2021-03-20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343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零件松动检查、添加润滑油、卫生的清洁等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86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0" w:afterLines="0" w:line="24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43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每年年底有一次大型设备检修，邀请设备商家技术人员来厂进行，2020-12年来厂进行，更换了易损件，未发现大型异常。下次审核关注。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现场查看储气罐（简易压力容器），产品编号为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0170521A1-03-01</w:t>
            </w:r>
            <w:r>
              <w:rPr>
                <w:rFonts w:hint="eastAsia"/>
                <w:szCs w:val="21"/>
                <w:highlight w:val="none"/>
              </w:rPr>
              <w:t>，制造日期为2</w:t>
            </w:r>
            <w:r>
              <w:rPr>
                <w:szCs w:val="21"/>
                <w:highlight w:val="none"/>
              </w:rPr>
              <w:t>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17-05-28</w:t>
            </w:r>
            <w:r>
              <w:rPr>
                <w:rFonts w:hint="eastAsia"/>
                <w:szCs w:val="21"/>
                <w:highlight w:val="none"/>
              </w:rPr>
              <w:t>，使用寿命为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1"/>
                <w:highlight w:val="none"/>
              </w:rPr>
              <w:t>年，目前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正常使用。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不涉及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</w:rPr>
                    <w:t>维保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ind w:firstLine="630" w:firstLineChars="3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运行控制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统一进行管理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薪资待遇、员工福利、健康体检、班车接送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良好的工作环境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手册8.1条款、《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金属家具（课桌椅、单人床、四门储物柜、货架等）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按照客户订单的要求执行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《家具产品生产工艺质量标准作业指导书》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QB/T1097-2010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GB/T3325-2017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  <w:lang w:val="en-US" w:eastAsia="zh-CN"/>
                    </w:rPr>
                    <w:t>产品相关</w:t>
                  </w:r>
                  <w:r>
                    <w:rPr>
                      <w:rFonts w:hint="eastAsia"/>
                    </w:rPr>
                    <w:t>标准和客户合同订单要求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《家具产品生产工艺质量标准作业指导书》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钢制家具生产及过程检验记录</w:t>
                  </w: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》、《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钢制家具出厂检验报告</w:t>
                  </w: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》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产品委托检测报告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产品运输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  <w:lang w:val="en-US" w:eastAsia="zh-CN"/>
              </w:rPr>
              <w:t>如：《产品/服务提供控制程序》、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《图纸》、《作业指导书》、《操作规程》、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《家具产品生产工艺质量标准作业指导书》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《生产计划》：</w:t>
            </w:r>
          </w:p>
          <w:p>
            <w:pPr>
              <w:rPr>
                <w:rFonts w:hint="default"/>
                <w:b/>
                <w:bCs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钢制家具生产工艺流程：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喷塑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固化烘干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包装入库</w:t>
            </w:r>
          </w:p>
          <w:bookmarkEnd w:id="0"/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抽查《生产操作记录》或《跟工单》等证据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工序1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52"/>
              <w:gridCol w:w="920"/>
              <w:gridCol w:w="2492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25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9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2021-04-18</w:t>
                  </w:r>
                </w:p>
              </w:tc>
              <w:tc>
                <w:tcPr>
                  <w:tcW w:w="125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密集架（密集储物柜）</w:t>
                  </w: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下料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adjustRightInd w:val="0"/>
                    <w:snapToGrid w:val="0"/>
                    <w:spacing w:line="0" w:lineRule="atLeas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</w:rPr>
                    <w:t>产品尺寸，边长及斜角误差不得超过设计尺寸的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±0.5mm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adjustRightInd w:val="0"/>
                    <w:snapToGrid w:val="0"/>
                    <w:spacing w:line="0" w:lineRule="atLeast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钢板厚度1.0mm、钢管厚度1.5mm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冲压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无裂缝、角度一致、表面光滑；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</w:rPr>
                    <w:t>孔径、孔位、孔深符合图纸质量要求。孔径公差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±0.2mm，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</w:rPr>
                    <w:t>孔位公差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±0.5mm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折弯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</w:rPr>
                    <w:t>折弯产品型号、尺寸、角度符合技术要求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</w:rPr>
                    <w:t>无明显划伤、磕碰、压痕、胶痕等现象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焊接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无脱焊、无虚焊、无焊穿、无夹渣、无气孔、无焊流、无咬边、无飞溅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焊条直径0.8mm、电流50A、电压380V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抛丸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使用抛丸砂，工件经抛丸后表面粗糙度RZ≥20Hm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喷涂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黑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黑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供粉筒流化压力0.04</w:t>
                  </w:r>
                  <w:r>
                    <w:rPr>
                      <w:rFonts w:hint="default" w:ascii="Times New Roman" w:hAnsi="Times New Roman" w:cs="Times New Roman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~</w:t>
                  </w:r>
                  <w:r>
                    <w:rPr>
                      <w:rFonts w:hint="eastAsia" w:ascii="宋体" w:hAnsi="宋体" w:cs="黑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0.10MPA，流速压力0.3~0.55MPA，喷粉速度：50次/min，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黑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供粉筒流化压力0.08MPA，流速压力0.40MPA，喷粉速度：50次/min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固化、烘干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温度：180~200℃，时间25min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黑体"/>
                      <w:kern w:val="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黑体"/>
                      <w:kern w:val="0"/>
                      <w:sz w:val="18"/>
                      <w:szCs w:val="18"/>
                      <w:highlight w:val="none"/>
                      <w:lang w:val="en-US" w:eastAsia="zh-CN" w:bidi="ar-SA"/>
                    </w:rPr>
                    <w:t>185℃，时间：25min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检验</w:t>
                  </w:r>
                </w:p>
              </w:tc>
              <w:tc>
                <w:tcPr>
                  <w:tcW w:w="2492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工件喷涂应均匀，不能有漏喷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jc w:val="both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五金件</w:t>
                  </w:r>
                </w:p>
                <w:p>
                  <w:pPr>
                    <w:spacing w:line="0" w:lineRule="atLeast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组装安装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黑体"/>
                      <w:kern w:val="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金属表面无划伤，镀（涂）层牢固，无脱落、无生锈、组装好的功能件调节顺畅、无异响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所用五金件与备案清单一致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5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>
                  <w:pPr>
                    <w:spacing w:line="0" w:lineRule="atLeast"/>
                    <w:ind w:firstLine="180" w:firstLineChars="10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包装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入库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字迹清晰，内容准确、无墨迹、无污渍、无油渍；按规定要求包装，成品无外漏，三层防护，已办理入库手续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line="0" w:lineRule="atLeast"/>
                    <w:jc w:val="left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同时抽查2021-01-15 高低床，正常，符合要求。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首件检验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不适用      》（适用时）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特殊过程确认记录    》（适用时）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718"/>
              <w:gridCol w:w="1840"/>
              <w:gridCol w:w="850"/>
              <w:gridCol w:w="850"/>
              <w:gridCol w:w="1050"/>
              <w:gridCol w:w="1100"/>
              <w:gridCol w:w="890"/>
              <w:gridCol w:w="10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7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18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89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10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2021-01-06</w:t>
                  </w:r>
                </w:p>
              </w:tc>
              <w:tc>
                <w:tcPr>
                  <w:tcW w:w="71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喷涂过程</w:t>
                  </w:r>
                </w:p>
              </w:tc>
              <w:tc>
                <w:tcPr>
                  <w:tcW w:w="18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生产人员经过培训，能达到喷涂过程所要求水平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油漆枪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油漆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</w:t>
                  </w:r>
                  <w:r>
                    <w:rPr>
                      <w:rFonts w:hint="eastAsia"/>
                    </w:rPr>
                    <w:t>喷涂作业指导书</w:t>
                  </w:r>
                  <w:r>
                    <w:rPr>
                      <w:rFonts w:hint="eastAsia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符合喷涂作业环境要求</w:t>
                  </w:r>
                </w:p>
              </w:tc>
              <w:tc>
                <w:tcPr>
                  <w:tcW w:w="89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09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2021-01-06</w:t>
                  </w:r>
                </w:p>
              </w:tc>
              <w:tc>
                <w:tcPr>
                  <w:tcW w:w="7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焊接过程</w:t>
                  </w:r>
                </w:p>
              </w:tc>
              <w:tc>
                <w:tcPr>
                  <w:tcW w:w="18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生产人员经过培训，能达到焊接过程所要求水平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电焊机、焊枪、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焊条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根据</w:t>
                  </w:r>
                  <w:r>
                    <w:rPr>
                      <w:rFonts w:hint="eastAsia"/>
                    </w:rPr>
                    <w:t>电焊作业指导书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符合焊接作业环境要求</w:t>
                  </w:r>
                </w:p>
              </w:tc>
              <w:tc>
                <w:tcPr>
                  <w:tcW w:w="89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094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highlight w:val="none"/>
                <w:u w:val="single"/>
                <w:lang w:val="en-US" w:eastAsia="zh-CN"/>
              </w:rPr>
              <w:t xml:space="preserve"> 上岗前技术人员指导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《生产计划》：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销售流程：</w:t>
            </w:r>
          </w:p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接受客户意向订单→合同评审→签订合同→下达生产任务单（组织生产）→发货→客户验收→交付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抽查《生产操作记录》或《跟工单》等证据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工序1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742"/>
              <w:gridCol w:w="1330"/>
              <w:gridCol w:w="3520"/>
              <w:gridCol w:w="1580"/>
              <w:gridCol w:w="11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42" w:type="dxa"/>
                </w:tcPr>
                <w:p>
                  <w:pPr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133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352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04" w:type="dxa"/>
                </w:tcPr>
                <w:p>
                  <w:pPr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2021-01-04</w:t>
                  </w:r>
                </w:p>
              </w:tc>
              <w:tc>
                <w:tcPr>
                  <w:tcW w:w="742" w:type="dxa"/>
                </w:tcPr>
                <w:p>
                  <w:pPr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家具货架</w:t>
                  </w:r>
                </w:p>
              </w:tc>
              <w:tc>
                <w:tcPr>
                  <w:tcW w:w="133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接受客户意向订单</w:t>
                  </w:r>
                </w:p>
              </w:tc>
              <w:tc>
                <w:tcPr>
                  <w:tcW w:w="352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评估是否可以满足客户需求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0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合同评审</w:t>
                  </w:r>
                </w:p>
              </w:tc>
              <w:tc>
                <w:tcPr>
                  <w:tcW w:w="3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符合产品法律法规要求和客户要求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0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签订合同</w:t>
                  </w:r>
                </w:p>
              </w:tc>
              <w:tc>
                <w:tcPr>
                  <w:tcW w:w="3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会签、盖章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30" w:type="dxa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下达生产任务单（组织生产）</w:t>
                  </w:r>
                </w:p>
              </w:tc>
              <w:tc>
                <w:tcPr>
                  <w:tcW w:w="3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见生产部8.5.1条款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30" w:type="dxa"/>
                  <w:vAlign w:val="top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发货</w:t>
                  </w:r>
                </w:p>
              </w:tc>
              <w:tc>
                <w:tcPr>
                  <w:tcW w:w="35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有发货清单，随机抽查2021-01-04 发货清单，产品（货架），合计510包，承运人：艾山 马木提，车牌号：新A43552，提供有承运人身份证号和机动车驾驶证、机动车行驶证复印件。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抽查2021-03-10  军用折叠单人床发货单，内容一致。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30" w:type="dxa"/>
                  <w:vAlign w:val="top"/>
                </w:tcPr>
                <w:p>
                  <w:pPr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客户签收/验收</w:t>
                  </w:r>
                </w:p>
              </w:tc>
              <w:tc>
                <w:tcPr>
                  <w:tcW w:w="35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提供验收单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首件检验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不适用                》（适用时）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特殊过程确认记录        》（适用时）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648"/>
              <w:gridCol w:w="1465"/>
              <w:gridCol w:w="1175"/>
              <w:gridCol w:w="950"/>
              <w:gridCol w:w="1000"/>
              <w:gridCol w:w="1000"/>
              <w:gridCol w:w="1070"/>
              <w:gridCol w:w="10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64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14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1175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10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2021-01-06</w:t>
                  </w:r>
                </w:p>
              </w:tc>
              <w:tc>
                <w:tcPr>
                  <w:tcW w:w="648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销售过程</w:t>
                  </w:r>
                </w:p>
              </w:tc>
              <w:tc>
                <w:tcPr>
                  <w:tcW w:w="1465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销售人员均经过岗前培训，定期业务知识学习，销售技巧训练。</w:t>
                  </w:r>
                </w:p>
              </w:tc>
              <w:tc>
                <w:tcPr>
                  <w:tcW w:w="117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办公设施如电脑、网络基本满足目前销售服务需要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金属家具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销售服务作业规范文件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0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4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84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6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对于食品行业的运输控制：（不涉及）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车辆卫生清洁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不与有毒有害物质混匀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保温车辆的温度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>℃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对于危化品行业运输：（不涉及）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按照预定路线行驶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泄露处理措施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火灾处理措施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否 </w:t>
            </w:r>
            <w:r>
              <w:rPr>
                <w:rFonts w:hint="eastAsia"/>
                <w:i/>
                <w:iCs/>
                <w:highlight w:val="none"/>
                <w:u w:val="single"/>
                <w:lang w:val="en-US" w:eastAsia="zh-CN"/>
              </w:rPr>
              <w:t xml:space="preserve"> 生产现场原材料有区域存放，但无标识，见8.5.2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否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</w:t>
            </w: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val="en-US" w:eastAsia="zh-CN"/>
              </w:rPr>
              <w:t>控制程序》、《产品留样制度》、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《生产提供控制程序》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追溯</w:t>
            </w:r>
            <w:r>
              <w:rPr>
                <w:rFonts w:hint="eastAsia"/>
                <w:lang w:val="en-US" w:eastAsia="zh-CN"/>
              </w:rPr>
              <w:t>原因：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演练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质量事故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市场抽查不合格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产品留样（适用时）（不适用）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抽查产品留样记录：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gridSpan w:val="2"/>
            <w:vAlign w:val="top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在生产或服务场所对原材料</w:t>
            </w:r>
            <w:r>
              <w:rPr>
                <w:rFonts w:hint="eastAsia"/>
                <w:color w:val="FF0000"/>
              </w:rPr>
              <w:t>的</w:t>
            </w:r>
            <w:r>
              <w:rPr>
                <w:rFonts w:hint="eastAsia"/>
                <w:color w:val="FF0000"/>
                <w:lang w:val="en-US" w:eastAsia="zh-CN"/>
              </w:rPr>
              <w:t>标识情况：</w:t>
            </w:r>
            <w:r>
              <w:rPr>
                <w:rFonts w:hint="eastAsia"/>
                <w:color w:val="FF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 xml:space="preserve">区分清楚  </w:t>
            </w:r>
            <w:r>
              <w:rPr>
                <w:rFonts w:hint="eastAsia"/>
                <w:color w:val="FF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 xml:space="preserve">防护得当 </w:t>
            </w:r>
            <w:r>
              <w:rPr>
                <w:rFonts w:hint="eastAsia"/>
                <w:color w:val="FF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不适宜说明：生产现场存放的原材料标示不清。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不适宜说明：（不适宜）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如：《产品/服务提供控制程序》《库房管理制度》、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《生产提供控制程序》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抽查原材料名称：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钢材、塑粉（环氧树脂） 、板材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流水作业，不存在半成品库房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课桌凳、单人床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如：《产品/服务提供控制程序》或《变更控制程序》、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《生产提供控制程序》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体系建立以来未发生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512130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207671"/>
    <w:rsid w:val="0BE64DFF"/>
    <w:rsid w:val="0C5423F7"/>
    <w:rsid w:val="0C8009B8"/>
    <w:rsid w:val="0CC102DA"/>
    <w:rsid w:val="0D181113"/>
    <w:rsid w:val="0D1E4D9B"/>
    <w:rsid w:val="0D4D1326"/>
    <w:rsid w:val="0D6A2C36"/>
    <w:rsid w:val="0D6C7D55"/>
    <w:rsid w:val="0DB35CC0"/>
    <w:rsid w:val="0E49595F"/>
    <w:rsid w:val="0EB8524B"/>
    <w:rsid w:val="0F86648B"/>
    <w:rsid w:val="0F9C35C1"/>
    <w:rsid w:val="0FFA42BF"/>
    <w:rsid w:val="100B6D7F"/>
    <w:rsid w:val="100D075A"/>
    <w:rsid w:val="102671F4"/>
    <w:rsid w:val="106A3497"/>
    <w:rsid w:val="108219C2"/>
    <w:rsid w:val="10991918"/>
    <w:rsid w:val="10A120FB"/>
    <w:rsid w:val="10AB5B5F"/>
    <w:rsid w:val="10C112A0"/>
    <w:rsid w:val="10C11C69"/>
    <w:rsid w:val="10DD2E35"/>
    <w:rsid w:val="10FB2568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696FBA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0966F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A23B4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C06400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6E87F38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A836A2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365011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545CC8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CF5FEA"/>
    <w:rsid w:val="42E1062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7C4761B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06614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AC1330"/>
    <w:rsid w:val="5BF04FFA"/>
    <w:rsid w:val="5C4D2649"/>
    <w:rsid w:val="5C884051"/>
    <w:rsid w:val="5C8D6CFF"/>
    <w:rsid w:val="5C966EB6"/>
    <w:rsid w:val="5CB9068F"/>
    <w:rsid w:val="5D013462"/>
    <w:rsid w:val="5D3351AF"/>
    <w:rsid w:val="5D5E64F4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223B2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2C722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3CA7D63"/>
    <w:rsid w:val="74103E55"/>
    <w:rsid w:val="745B622A"/>
    <w:rsid w:val="74EE304B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13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2021-04-24T03:37:45Z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428787E373FB408194039CAFF88BDE8B</vt:lpwstr>
  </property>
</Properties>
</file>